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FF6F76">
      <w:pPr>
        <w:spacing w:after="0"/>
        <w:jc w:val="center"/>
        <w:rPr>
          <w:rFonts w:cs="Times New Roman"/>
          <w:b/>
          <w:i/>
          <w:sz w:val="32"/>
          <w:szCs w:val="32"/>
        </w:rPr>
      </w:pPr>
      <w:r>
        <w:rPr>
          <w:rFonts w:cs="Times New Roman"/>
          <w:b/>
          <w:i/>
          <w:sz w:val="32"/>
          <w:szCs w:val="32"/>
        </w:rPr>
        <w:t>50MW  Onshore Wind Project</w:t>
      </w:r>
    </w:p>
    <w:p w14:paraId="2FB1ACD5">
      <w:pPr>
        <w:pStyle w:val="19"/>
        <w:jc w:val="center"/>
        <w:rPr>
          <w:i/>
          <w:iCs/>
        </w:rPr>
      </w:pPr>
      <w:r>
        <w:rPr>
          <w:rFonts w:ascii="Garamond" w:hAnsi="Garamond"/>
          <w:b/>
          <w:bCs/>
          <w:i/>
          <w:iCs/>
          <w:sz w:val="32"/>
          <w:szCs w:val="32"/>
        </w:rPr>
        <w:t>in Dominican Republic</w:t>
      </w:r>
    </w:p>
    <w:p w14:paraId="4213A16F">
      <w:pPr>
        <w:spacing w:after="0"/>
        <w:jc w:val="both"/>
        <w:rPr>
          <w:sz w:val="24"/>
          <w:szCs w:val="24"/>
        </w:rPr>
      </w:pPr>
      <w:r>
        <w:rPr>
          <w:b/>
          <w:bCs/>
          <w:sz w:val="24"/>
          <w:szCs w:val="24"/>
        </w:rPr>
        <w:t>Summary.</w:t>
      </w:r>
      <w:r>
        <w:rPr>
          <w:sz w:val="24"/>
          <w:szCs w:val="24"/>
        </w:rPr>
        <w:t xml:space="preserve"> </w:t>
      </w:r>
    </w:p>
    <w:p w14:paraId="3E73A5D9">
      <w:pPr>
        <w:spacing w:after="0"/>
        <w:jc w:val="both"/>
        <w:rPr>
          <w:sz w:val="24"/>
          <w:szCs w:val="24"/>
        </w:rPr>
      </w:pPr>
      <w:r>
        <w:rPr>
          <w:sz w:val="24"/>
          <w:szCs w:val="24"/>
        </w:rPr>
        <w:t xml:space="preserve">FT Energy Partners, LLC (“FT Energy”) has acquired the rights to a 50MW  wind project, Jasper Caribbean Windpower LLC (“Jasper”), in Puerto Plata, Dominican Republic. Jasper has concessions for a total of 115MW in two phases, with the first phase being 50MW. All permits for the first phase 50MW were previously issued and a PPA was signed in November 2019. However, the prior developer and sponsor were not able to secure project financing, and as a result they could not start construction on time and the PPA was rescinded in February 2020 by the DR government. </w:t>
      </w:r>
    </w:p>
    <w:p w14:paraId="33107AD4">
      <w:pPr>
        <w:spacing w:after="0"/>
        <w:jc w:val="both"/>
        <w:rPr>
          <w:sz w:val="24"/>
          <w:szCs w:val="24"/>
        </w:rPr>
      </w:pPr>
    </w:p>
    <w:p w14:paraId="4475EE2E">
      <w:pPr>
        <w:jc w:val="both"/>
        <w:rPr>
          <w:rFonts w:eastAsia="Times New Roman" w:cs="Calibri"/>
          <w:color w:val="000000"/>
          <w:sz w:val="24"/>
          <w:szCs w:val="24"/>
          <w:lang w:eastAsia="zh-CN"/>
        </w:rPr>
      </w:pPr>
      <w:r>
        <w:rPr>
          <w:sz w:val="24"/>
          <w:szCs w:val="24"/>
        </w:rPr>
        <w:t xml:space="preserve">In October 2020, the DR Ministry of Energy asked FT Energy to step in as sponsor to develop  the Jasper project, and assured FT Energy that the DR government would issue a new PPA if FT Energy could commit to executing and obtaining financing. Thus, </w:t>
      </w:r>
      <w:r>
        <w:rPr>
          <w:rFonts w:eastAsia="Times New Roman" w:cs="Calibri"/>
          <w:color w:val="000000"/>
          <w:sz w:val="24"/>
          <w:szCs w:val="24"/>
          <w:lang w:eastAsia="zh-CN"/>
        </w:rPr>
        <w:t xml:space="preserve">FT Energy became the new sponsor for Jasper and has worked since the end of 2020 to maintain and renew all required permits and to negotiate a new PPA. </w:t>
      </w:r>
    </w:p>
    <w:p w14:paraId="43FDA951">
      <w:pPr>
        <w:jc w:val="both"/>
        <w:rPr>
          <w:rFonts w:eastAsia="Times New Roman" w:cs="Calibri"/>
          <w:color w:val="000000"/>
          <w:sz w:val="24"/>
          <w:szCs w:val="24"/>
          <w:lang w:eastAsia="zh-CN"/>
        </w:rPr>
      </w:pPr>
    </w:p>
    <w:p w14:paraId="62859281">
      <w:pPr>
        <w:jc w:val="both"/>
        <w:rPr>
          <w:rFonts w:eastAsia="Times New Roman" w:cs="Calibri"/>
          <w:color w:val="000000"/>
          <w:sz w:val="24"/>
          <w:szCs w:val="24"/>
          <w:lang w:eastAsia="zh-CN"/>
        </w:rPr>
      </w:pPr>
      <w:bookmarkStart w:id="1" w:name="_GoBack"/>
      <w:r>
        <w:rPr>
          <w:rFonts w:eastAsia="Times New Roman" w:cs="Calibri"/>
          <w:color w:val="000000"/>
          <w:sz w:val="24"/>
          <w:szCs w:val="24"/>
          <w:lang w:eastAsia="zh-CN"/>
        </w:rPr>
        <w:t xml:space="preserve">In July 2025, the Unified Council for Distribution Companies – CUED (Consejo Unificado de las Empresas Distribuidoras, </w:t>
      </w:r>
      <w:r>
        <w:fldChar w:fldCharType="begin"/>
      </w:r>
      <w:r>
        <w:instrText xml:space="preserve"> HYPERLINK "https://cued.gob.do" </w:instrText>
      </w:r>
      <w:r>
        <w:fldChar w:fldCharType="separate"/>
      </w:r>
      <w:r>
        <w:rPr>
          <w:rStyle w:val="26"/>
          <w:rFonts w:eastAsia="Times New Roman" w:cs="Calibri"/>
          <w:sz w:val="24"/>
          <w:szCs w:val="24"/>
          <w:lang w:eastAsia="zh-CN"/>
        </w:rPr>
        <w:t>https://cued.gob.do</w:t>
      </w:r>
      <w:r>
        <w:rPr>
          <w:rStyle w:val="26"/>
          <w:rFonts w:eastAsia="Times New Roman" w:cs="Calibri"/>
          <w:sz w:val="24"/>
          <w:szCs w:val="24"/>
          <w:lang w:eastAsia="zh-CN"/>
        </w:rPr>
        <w:fldChar w:fldCharType="end"/>
      </w:r>
      <w:r>
        <w:rPr>
          <w:rFonts w:eastAsia="Times New Roman" w:cs="Calibri"/>
          <w:color w:val="000000"/>
          <w:sz w:val="24"/>
          <w:szCs w:val="24"/>
          <w:lang w:eastAsia="zh-CN"/>
        </w:rPr>
        <w:t>) offered us a new PPA for 15 years at US$0.0995/kWh for the first 75% of the energy produced and the remaining 25% of the energy is paid according to spot market prices. CUED is the government agency that signs all PPAs.</w:t>
      </w:r>
    </w:p>
    <w:bookmarkEnd w:id="1"/>
    <w:p w14:paraId="2381159D">
      <w:pPr>
        <w:jc w:val="both"/>
        <w:rPr>
          <w:rFonts w:eastAsia="Times New Roman" w:cs="Calibri"/>
          <w:color w:val="000000"/>
          <w:sz w:val="24"/>
          <w:szCs w:val="24"/>
          <w:lang w:eastAsia="zh-CN"/>
        </w:rPr>
      </w:pPr>
    </w:p>
    <w:p w14:paraId="1C29F438">
      <w:pPr>
        <w:jc w:val="both"/>
        <w:rPr>
          <w:rFonts w:eastAsia="Times New Roman" w:cs="Calibri"/>
          <w:color w:val="000000"/>
          <w:sz w:val="24"/>
          <w:szCs w:val="24"/>
          <w:lang w:eastAsia="zh-CN"/>
        </w:rPr>
      </w:pPr>
      <w:r>
        <w:rPr>
          <w:rFonts w:eastAsia="Times New Roman" w:cs="Calibri"/>
          <w:color w:val="000000"/>
          <w:sz w:val="24"/>
          <w:szCs w:val="24"/>
          <w:lang w:eastAsia="zh-CN"/>
        </w:rPr>
        <w:t xml:space="preserve">All PPA contract terms were agreed to in December 2025. CUED requires us to sign the PPA by end of January to mid-February 2026. </w:t>
      </w:r>
    </w:p>
    <w:p w14:paraId="156EAAAB">
      <w:pPr>
        <w:jc w:val="both"/>
        <w:rPr>
          <w:rFonts w:eastAsia="Times New Roman" w:cs="Calibri"/>
          <w:color w:val="000000"/>
          <w:sz w:val="24"/>
          <w:szCs w:val="24"/>
          <w:lang w:eastAsia="zh-CN"/>
        </w:rPr>
      </w:pPr>
    </w:p>
    <w:p w14:paraId="0537A6B9">
      <w:pPr>
        <w:jc w:val="both"/>
        <w:rPr>
          <w:rFonts w:eastAsia="Times New Roman" w:cs="Calibri"/>
          <w:color w:val="000000"/>
          <w:sz w:val="24"/>
          <w:szCs w:val="24"/>
          <w:lang w:eastAsia="zh-CN"/>
        </w:rPr>
      </w:pPr>
      <w:r>
        <w:rPr>
          <w:rFonts w:eastAsia="Times New Roman" w:cs="Calibri"/>
          <w:color w:val="000000"/>
          <w:sz w:val="24"/>
          <w:szCs w:val="24"/>
          <w:lang w:eastAsia="zh-CN"/>
        </w:rPr>
        <w:t>The average electricity spot market price for 2023 was $0.1301/kWh, 2024 was $0.1232/kWh, and 2025 was $0.1198/kWh.</w:t>
      </w:r>
    </w:p>
    <w:p w14:paraId="78DEE1E3">
      <w:pPr>
        <w:spacing w:after="0" w:line="240" w:lineRule="auto"/>
        <w:jc w:val="both"/>
        <w:rPr>
          <w:rFonts w:eastAsia="Times New Roman" w:cs="Calibri"/>
          <w:color w:val="000000"/>
          <w:sz w:val="24"/>
          <w:szCs w:val="24"/>
          <w:lang w:eastAsia="zh-CN"/>
        </w:rPr>
      </w:pPr>
      <w:r>
        <w:rPr>
          <w:rFonts w:eastAsia="Times New Roman" w:cs="Calibri"/>
          <w:color w:val="000000"/>
          <w:sz w:val="24"/>
          <w:szCs w:val="24"/>
          <w:lang w:eastAsia="zh-CN"/>
        </w:rPr>
        <w:t>DR laws stipulate that renewable energy must be consumed before conventional /fossil fuel energy, regardless of PPA status, and currently renewables account for about 10-15% of the total energy usage. The DR government is committed to expanding its use of renewable energy and is moving forward with renewable projects.</w:t>
      </w:r>
    </w:p>
    <w:p w14:paraId="1460C0DA">
      <w:pPr>
        <w:spacing w:after="0" w:line="240" w:lineRule="auto"/>
        <w:jc w:val="both"/>
        <w:rPr>
          <w:rFonts w:eastAsia="Times New Roman" w:cs="Calibri"/>
          <w:color w:val="000000"/>
          <w:sz w:val="24"/>
          <w:szCs w:val="24"/>
          <w:lang w:eastAsia="zh-CN"/>
        </w:rPr>
      </w:pPr>
    </w:p>
    <w:p w14:paraId="26F06ABF">
      <w:pPr>
        <w:spacing w:after="0" w:line="240" w:lineRule="auto"/>
        <w:jc w:val="both"/>
        <w:rPr>
          <w:rFonts w:eastAsia="Times New Roman" w:cs="Calibri"/>
          <w:color w:val="000000"/>
          <w:sz w:val="24"/>
          <w:szCs w:val="24"/>
          <w:lang w:eastAsia="zh-CN"/>
        </w:rPr>
      </w:pPr>
      <w:r>
        <w:rPr>
          <w:rFonts w:eastAsia="Times New Roman" w:cs="Calibri"/>
          <w:color w:val="000000"/>
          <w:sz w:val="24"/>
          <w:szCs w:val="24"/>
          <w:lang w:eastAsia="zh-CN"/>
        </w:rPr>
        <w:t xml:space="preserve">The DR continues to experience daily power outages. The World Bank estimated that DR’s large and expanding gap in electricity supply was 2GW of generating capacity, compared to an installed base of 5 GW. Fossil fuels which account for ~75% of generating capacity. </w:t>
      </w:r>
    </w:p>
    <w:p w14:paraId="0942045B">
      <w:pPr>
        <w:spacing w:after="0" w:line="240" w:lineRule="auto"/>
        <w:jc w:val="both"/>
        <w:rPr>
          <w:rFonts w:eastAsia="Times New Roman" w:cs="Calibri"/>
          <w:color w:val="000000"/>
          <w:sz w:val="24"/>
          <w:szCs w:val="24"/>
          <w:lang w:eastAsia="zh-CN"/>
        </w:rPr>
      </w:pPr>
    </w:p>
    <w:p w14:paraId="43E042C2">
      <w:pPr>
        <w:jc w:val="both"/>
        <w:rPr>
          <w:rFonts w:eastAsia="Times New Roman" w:cs="Calibri"/>
          <w:color w:val="000000"/>
          <w:sz w:val="24"/>
          <w:szCs w:val="24"/>
          <w:lang w:eastAsia="zh-CN"/>
        </w:rPr>
      </w:pPr>
      <w:r>
        <w:rPr>
          <w:rFonts w:eastAsia="Times New Roman" w:cs="Calibri"/>
          <w:color w:val="000000"/>
          <w:sz w:val="24"/>
          <w:szCs w:val="24"/>
          <w:lang w:eastAsia="zh-CN"/>
        </w:rPr>
        <w:t xml:space="preserve">In February 2024, FT Energy and the shareholders of Jasper agreed to sell the project to a publicly traded renewable energy company called Ecoener, S.A., based in Spain, </w:t>
      </w:r>
      <w:r>
        <w:fldChar w:fldCharType="begin"/>
      </w:r>
      <w:r>
        <w:instrText xml:space="preserve"> HYPERLINK "https://www.ecoener.es/en" </w:instrText>
      </w:r>
      <w:r>
        <w:fldChar w:fldCharType="separate"/>
      </w:r>
      <w:r>
        <w:rPr>
          <w:rStyle w:val="26"/>
          <w:rFonts w:eastAsia="Times New Roman" w:cs="Calibri"/>
          <w:sz w:val="24"/>
          <w:szCs w:val="24"/>
          <w:lang w:eastAsia="zh-CN"/>
        </w:rPr>
        <w:t>https://www.ecoener.es/en</w:t>
      </w:r>
      <w:r>
        <w:rPr>
          <w:rStyle w:val="26"/>
          <w:rFonts w:eastAsia="Times New Roman" w:cs="Calibri"/>
          <w:sz w:val="24"/>
          <w:szCs w:val="24"/>
          <w:lang w:eastAsia="zh-CN"/>
        </w:rPr>
        <w:fldChar w:fldCharType="end"/>
      </w:r>
      <w:r>
        <w:rPr>
          <w:rFonts w:eastAsia="Times New Roman" w:cs="Calibri"/>
          <w:color w:val="000000"/>
          <w:sz w:val="24"/>
          <w:szCs w:val="24"/>
          <w:lang w:eastAsia="zh-CN"/>
        </w:rPr>
        <w:t xml:space="preserve">. Ecoener has until January 15, 2026, to complete the transaction. However, as end of December 2025, they have not secured financing yet. If Ecoener does not achieve financial closing by January 15, 2026, their rights are forfeited, and the projects rights will revert to FT Energy. </w:t>
      </w:r>
    </w:p>
    <w:p w14:paraId="590291F3">
      <w:pPr>
        <w:spacing w:after="0" w:line="240" w:lineRule="auto"/>
        <w:jc w:val="both"/>
        <w:rPr>
          <w:rFonts w:eastAsia="Times New Roman" w:cs="Calibri"/>
          <w:color w:val="000000"/>
          <w:sz w:val="24"/>
          <w:szCs w:val="24"/>
          <w:lang w:eastAsia="zh-CN"/>
        </w:rPr>
      </w:pPr>
      <w:r>
        <w:rPr>
          <w:rFonts w:eastAsia="Times New Roman" w:cs="Calibri"/>
          <w:color w:val="000000"/>
          <w:sz w:val="24"/>
          <w:szCs w:val="24"/>
          <w:lang w:eastAsia="zh-CN"/>
        </w:rPr>
        <w:t> </w:t>
      </w:r>
    </w:p>
    <w:p w14:paraId="136438D0">
      <w:pPr>
        <w:spacing w:after="0"/>
        <w:jc w:val="both"/>
        <w:rPr>
          <w:sz w:val="24"/>
          <w:szCs w:val="24"/>
        </w:rPr>
      </w:pPr>
      <w:r>
        <w:rPr>
          <w:sz w:val="24"/>
          <w:szCs w:val="24"/>
        </w:rPr>
        <w:t>The P50 wind capacity factor (CF) for the project is estimated at 38% (3320 hours) at 225m tip height using Vestas 5.6MW turbines, or 166 GWh/year first year energy production. P75% wind CF is 29.1% (2549 hours) or 127 GWh/year.</w:t>
      </w:r>
    </w:p>
    <w:p w14:paraId="69FD6111">
      <w:pPr>
        <w:spacing w:after="0"/>
        <w:jc w:val="both"/>
        <w:rPr>
          <w:sz w:val="24"/>
          <w:szCs w:val="24"/>
        </w:rPr>
      </w:pPr>
    </w:p>
    <w:p w14:paraId="6132184B">
      <w:pPr>
        <w:spacing w:after="0"/>
        <w:jc w:val="both"/>
        <w:rPr>
          <w:sz w:val="24"/>
          <w:szCs w:val="24"/>
        </w:rPr>
      </w:pPr>
      <w:r>
        <w:rPr>
          <w:rFonts w:ascii="Times New Roman" w:hAnsi="Times New Roman" w:eastAsia="Times New Roman" w:cs="Times New Roman"/>
          <w:sz w:val="24"/>
          <w:szCs w:val="24"/>
        </w:rPr>
        <w:drawing>
          <wp:anchor distT="0" distB="0" distL="114300" distR="114300" simplePos="0" relativeHeight="251660288" behindDoc="0" locked="0" layoutInCell="1" allowOverlap="1">
            <wp:simplePos x="0" y="0"/>
            <wp:positionH relativeFrom="column">
              <wp:posOffset>3973830</wp:posOffset>
            </wp:positionH>
            <wp:positionV relativeFrom="paragraph">
              <wp:posOffset>22860</wp:posOffset>
            </wp:positionV>
            <wp:extent cx="3772535" cy="2667000"/>
            <wp:effectExtent l="0" t="0" r="0" b="0"/>
            <wp:wrapSquare wrapText="bothSides"/>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pic:cNvPicPr>
                  </pic:nvPicPr>
                  <pic:blipFill>
                    <a:blip r:embed="rId7"/>
                    <a:stretch>
                      <a:fillRect/>
                    </a:stretch>
                  </pic:blipFill>
                  <pic:spPr>
                    <a:xfrm>
                      <a:off x="0" y="0"/>
                      <a:ext cx="3772535" cy="2667000"/>
                    </a:xfrm>
                    <a:prstGeom prst="rect">
                      <a:avLst/>
                    </a:prstGeom>
                  </pic:spPr>
                </pic:pic>
              </a:graphicData>
            </a:graphic>
          </wp:anchor>
        </w:drawing>
      </w:r>
      <w:r>
        <w:rPr>
          <w:rFonts w:ascii="Times New Roman" w:hAnsi="Times New Roman" w:eastAsia="Times New Roman" w:cs="Times New Roman"/>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10160</wp:posOffset>
            </wp:positionV>
            <wp:extent cx="3778250" cy="2679700"/>
            <wp:effectExtent l="0" t="0" r="6350" b="0"/>
            <wp:wrapSquare wrapText="bothSides"/>
            <wp:docPr id="2" name="Picture 2" descr="page3image458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ge3image45875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778250" cy="2679700"/>
                    </a:xfrm>
                    <a:prstGeom prst="rect">
                      <a:avLst/>
                    </a:prstGeom>
                    <a:noFill/>
                    <a:ln>
                      <a:noFill/>
                    </a:ln>
                  </pic:spPr>
                </pic:pic>
              </a:graphicData>
            </a:graphic>
          </wp:anchor>
        </w:drawing>
      </w:r>
      <w:r>
        <w:rPr>
          <w:rFonts w:ascii="Times New Roman" w:hAnsi="Times New Roman" w:eastAsia="Times New Roman" w:cs="Times New Roman"/>
          <w:sz w:val="24"/>
          <w:szCs w:val="24"/>
        </w:rPr>
        <w:fldChar w:fldCharType="begin"/>
      </w:r>
      <w:r>
        <w:instrText xml:space="preserve"> INCLUDEPICTURE "../Library/Containers/com.tencent.xinWeChat/Data/Library/Application Support/com.tencent.xinWeChat/2.0b4.0.9/31f86416c0d7b82b0f8dc77834e616ad/Message/MessageTemp/0a241f9dfc64fa8e4a7eb908c84faa54/File/" \* MERGEFORMAT </w:instrText>
      </w:r>
      <w:r>
        <w:rPr>
          <w:rFonts w:ascii="Times New Roman" w:hAnsi="Times New Roman" w:eastAsia="Times New Roman" w:cs="Times New Roman"/>
          <w:sz w:val="24"/>
          <w:szCs w:val="24"/>
        </w:rPr>
        <w:fldChar w:fldCharType="end"/>
      </w:r>
    </w:p>
    <w:p w14:paraId="6F8F8022">
      <w:pPr>
        <w:spacing w:after="0"/>
        <w:jc w:val="both"/>
        <w:rPr>
          <w:b/>
          <w:bCs/>
          <w:color w:val="000000" w:themeColor="text1"/>
          <w:sz w:val="24"/>
          <w:szCs w:val="24"/>
          <w14:textFill>
            <w14:solidFill>
              <w14:schemeClr w14:val="tx1"/>
            </w14:solidFill>
          </w14:textFill>
        </w:rPr>
      </w:pPr>
      <w:bookmarkStart w:id="0" w:name="_Hlk57111472"/>
    </w:p>
    <w:p w14:paraId="78EC051D">
      <w:pPr>
        <w:spacing w:after="0"/>
        <w:jc w:val="both"/>
        <w:rPr>
          <w:b/>
          <w:bCs/>
          <w:sz w:val="24"/>
          <w:szCs w:val="24"/>
        </w:rPr>
      </w:pPr>
    </w:p>
    <w:p w14:paraId="5BF4A2DD">
      <w:pPr>
        <w:spacing w:after="0"/>
        <w:jc w:val="both"/>
        <w:rPr>
          <w:b/>
          <w:bCs/>
          <w:sz w:val="24"/>
          <w:szCs w:val="24"/>
        </w:rPr>
      </w:pPr>
    </w:p>
    <w:p w14:paraId="7E35B9C5">
      <w:pPr>
        <w:spacing w:after="0"/>
        <w:jc w:val="both"/>
        <w:rPr>
          <w:b/>
          <w:bCs/>
          <w:sz w:val="24"/>
          <w:szCs w:val="24"/>
        </w:rPr>
      </w:pPr>
    </w:p>
    <w:p w14:paraId="13209DAD">
      <w:pPr>
        <w:spacing w:after="0"/>
        <w:jc w:val="both"/>
        <w:rPr>
          <w:b/>
          <w:bCs/>
          <w:sz w:val="24"/>
          <w:szCs w:val="24"/>
        </w:rPr>
      </w:pPr>
    </w:p>
    <w:p w14:paraId="724B4575">
      <w:pPr>
        <w:spacing w:after="0"/>
        <w:jc w:val="both"/>
        <w:rPr>
          <w:b/>
          <w:bCs/>
          <w:sz w:val="24"/>
          <w:szCs w:val="24"/>
        </w:rPr>
      </w:pPr>
    </w:p>
    <w:p w14:paraId="434C369C">
      <w:pPr>
        <w:spacing w:after="0"/>
        <w:jc w:val="both"/>
        <w:rPr>
          <w:b/>
          <w:bCs/>
          <w:sz w:val="24"/>
          <w:szCs w:val="24"/>
        </w:rPr>
      </w:pPr>
    </w:p>
    <w:p w14:paraId="3D5A8299">
      <w:pPr>
        <w:spacing w:after="0"/>
        <w:jc w:val="both"/>
        <w:rPr>
          <w:b/>
          <w:bCs/>
          <w:sz w:val="24"/>
          <w:szCs w:val="24"/>
        </w:rPr>
      </w:pPr>
    </w:p>
    <w:p w14:paraId="528A0918">
      <w:pPr>
        <w:spacing w:after="0"/>
        <w:jc w:val="both"/>
        <w:rPr>
          <w:b/>
          <w:bCs/>
          <w:sz w:val="24"/>
          <w:szCs w:val="24"/>
        </w:rPr>
      </w:pPr>
    </w:p>
    <w:p w14:paraId="51BF9B95">
      <w:pPr>
        <w:spacing w:after="0"/>
        <w:jc w:val="both"/>
        <w:rPr>
          <w:b/>
          <w:bCs/>
          <w:sz w:val="24"/>
          <w:szCs w:val="24"/>
        </w:rPr>
      </w:pPr>
    </w:p>
    <w:p w14:paraId="417CCBBF">
      <w:pPr>
        <w:spacing w:after="0"/>
        <w:jc w:val="both"/>
        <w:rPr>
          <w:b/>
          <w:bCs/>
          <w:sz w:val="24"/>
          <w:szCs w:val="24"/>
        </w:rPr>
      </w:pPr>
    </w:p>
    <w:p w14:paraId="238ABF25">
      <w:pPr>
        <w:spacing w:after="0"/>
        <w:jc w:val="both"/>
        <w:rPr>
          <w:b/>
          <w:bCs/>
          <w:sz w:val="24"/>
          <w:szCs w:val="24"/>
        </w:rPr>
      </w:pPr>
    </w:p>
    <w:p w14:paraId="01A09BE3">
      <w:pPr>
        <w:spacing w:after="0"/>
        <w:jc w:val="both"/>
        <w:rPr>
          <w:b/>
          <w:bCs/>
          <w:sz w:val="24"/>
          <w:szCs w:val="24"/>
        </w:rPr>
      </w:pPr>
    </w:p>
    <w:p w14:paraId="68AE1F4A">
      <w:pPr>
        <w:spacing w:after="0"/>
        <w:jc w:val="both"/>
        <w:rPr>
          <w:b/>
          <w:bCs/>
          <w:sz w:val="24"/>
          <w:szCs w:val="24"/>
        </w:rPr>
      </w:pPr>
    </w:p>
    <w:p w14:paraId="15CE41CC">
      <w:pPr>
        <w:spacing w:after="0"/>
        <w:jc w:val="both"/>
        <w:rPr>
          <w:sz w:val="24"/>
          <w:szCs w:val="24"/>
        </w:rPr>
      </w:pPr>
      <w:r>
        <w:rPr>
          <w:b/>
          <w:bCs/>
          <w:sz w:val="24"/>
          <w:szCs w:val="24"/>
        </w:rPr>
        <w:t>PPA Status.</w:t>
      </w:r>
      <w:r>
        <w:rPr>
          <w:sz w:val="24"/>
          <w:szCs w:val="24"/>
        </w:rPr>
        <w:t xml:space="preserve">  </w:t>
      </w:r>
    </w:p>
    <w:p w14:paraId="78F6237C">
      <w:pPr>
        <w:spacing w:after="0"/>
        <w:jc w:val="both"/>
        <w:rPr>
          <w:sz w:val="24"/>
          <w:szCs w:val="24"/>
        </w:rPr>
      </w:pPr>
      <w:r>
        <w:rPr>
          <w:sz w:val="24"/>
          <w:szCs w:val="24"/>
        </w:rPr>
        <w:t>A new PPA has been agreed to in December 2025:</w:t>
      </w:r>
    </w:p>
    <w:p w14:paraId="28035827">
      <w:pPr>
        <w:pStyle w:val="32"/>
        <w:numPr>
          <w:ilvl w:val="0"/>
          <w:numId w:val="1"/>
        </w:numPr>
        <w:spacing w:after="0"/>
        <w:jc w:val="both"/>
        <w:rPr>
          <w:sz w:val="24"/>
          <w:szCs w:val="24"/>
        </w:rPr>
      </w:pPr>
      <w:r>
        <w:rPr>
          <w:sz w:val="24"/>
          <w:szCs w:val="24"/>
        </w:rPr>
        <w:t xml:space="preserve">PPA price is US$0.0995 US cents/kWh for the first 75% of the energy produced by the wind project, and the remaining 25% of the energy will be paid according to spot market. </w:t>
      </w:r>
    </w:p>
    <w:p w14:paraId="42E69A52">
      <w:pPr>
        <w:pStyle w:val="32"/>
        <w:numPr>
          <w:ilvl w:val="0"/>
          <w:numId w:val="1"/>
        </w:numPr>
        <w:spacing w:after="0"/>
        <w:jc w:val="both"/>
        <w:rPr>
          <w:sz w:val="24"/>
          <w:szCs w:val="24"/>
        </w:rPr>
      </w:pPr>
      <w:r>
        <w:rPr>
          <w:sz w:val="24"/>
          <w:szCs w:val="24"/>
        </w:rPr>
        <w:t>CUED wants us to sign PPA as soon as possible – by end of January or mid-February 2026.</w:t>
      </w:r>
    </w:p>
    <w:p w14:paraId="01948FA6">
      <w:pPr>
        <w:pStyle w:val="32"/>
        <w:numPr>
          <w:ilvl w:val="0"/>
          <w:numId w:val="1"/>
        </w:numPr>
        <w:spacing w:after="0"/>
        <w:jc w:val="both"/>
        <w:rPr>
          <w:sz w:val="24"/>
          <w:szCs w:val="24"/>
        </w:rPr>
      </w:pPr>
      <w:r>
        <w:rPr>
          <w:sz w:val="24"/>
          <w:szCs w:val="24"/>
        </w:rPr>
        <w:t>To sign the PPA, a $4 million bond must be submitted at the time of signing the PPA contract.</w:t>
      </w:r>
    </w:p>
    <w:p w14:paraId="3D1DFCBC">
      <w:pPr>
        <w:pStyle w:val="32"/>
        <w:numPr>
          <w:ilvl w:val="0"/>
          <w:numId w:val="1"/>
        </w:numPr>
        <w:spacing w:after="0"/>
        <w:jc w:val="both"/>
        <w:rPr>
          <w:sz w:val="24"/>
          <w:szCs w:val="24"/>
        </w:rPr>
      </w:pPr>
      <w:r>
        <w:rPr>
          <w:sz w:val="24"/>
          <w:szCs w:val="24"/>
        </w:rPr>
        <w:t>After signing the PPA, construction must start within 6 months and achieve COD within 24 months without penalty.</w:t>
      </w:r>
    </w:p>
    <w:p w14:paraId="319E0262">
      <w:pPr>
        <w:spacing w:after="0"/>
        <w:jc w:val="both"/>
        <w:rPr>
          <w:b/>
          <w:bCs/>
          <w:sz w:val="24"/>
          <w:szCs w:val="24"/>
        </w:rPr>
      </w:pPr>
    </w:p>
    <w:p w14:paraId="2A4AD004">
      <w:pPr>
        <w:spacing w:after="0"/>
        <w:jc w:val="both"/>
        <w:rPr>
          <w:sz w:val="24"/>
          <w:szCs w:val="24"/>
        </w:rPr>
      </w:pPr>
      <w:r>
        <w:rPr>
          <w:b/>
          <w:bCs/>
          <w:sz w:val="24"/>
          <w:szCs w:val="24"/>
        </w:rPr>
        <w:t>Permit Status.</w:t>
      </w:r>
      <w:r>
        <w:rPr>
          <w:sz w:val="24"/>
          <w:szCs w:val="24"/>
        </w:rPr>
        <w:t xml:space="preserve"> </w:t>
      </w:r>
    </w:p>
    <w:bookmarkEnd w:id="0"/>
    <w:p w14:paraId="26F4A839">
      <w:pPr>
        <w:spacing w:after="0"/>
        <w:jc w:val="both"/>
        <w:rPr>
          <w:sz w:val="24"/>
          <w:szCs w:val="24"/>
        </w:rPr>
      </w:pPr>
      <w:r>
        <w:rPr>
          <w:sz w:val="24"/>
          <w:szCs w:val="24"/>
        </w:rPr>
        <w:t xml:space="preserve">All permits, including EPA (environmental) and ETED (grid connection), and definitive concessions have been received and are in good standing. </w:t>
      </w:r>
    </w:p>
    <w:p w14:paraId="6863C43D">
      <w:pPr>
        <w:spacing w:after="0"/>
        <w:jc w:val="both"/>
        <w:rPr>
          <w:sz w:val="24"/>
          <w:szCs w:val="24"/>
        </w:rPr>
      </w:pPr>
      <w:r>
        <w:rPr>
          <w:sz w:val="24"/>
          <w:szCs w:val="24"/>
        </w:rPr>
        <w:t>Grid connection point is less than 2km.</w:t>
      </w:r>
    </w:p>
    <w:p w14:paraId="76714E86">
      <w:pPr>
        <w:spacing w:after="0"/>
        <w:jc w:val="both"/>
        <w:rPr>
          <w:sz w:val="20"/>
          <w:szCs w:val="20"/>
        </w:rPr>
      </w:pPr>
    </w:p>
    <w:p w14:paraId="4C5EC3D5">
      <w:pPr>
        <w:spacing w:after="0"/>
        <w:jc w:val="both"/>
        <w:rPr>
          <w:sz w:val="24"/>
          <w:szCs w:val="24"/>
        </w:rPr>
      </w:pPr>
      <w:r>
        <w:rPr>
          <w:b/>
          <w:bCs/>
          <w:sz w:val="24"/>
          <w:szCs w:val="24"/>
        </w:rPr>
        <w:t>Land Status.</w:t>
      </w:r>
      <w:r>
        <w:rPr>
          <w:sz w:val="24"/>
          <w:szCs w:val="24"/>
        </w:rPr>
        <w:t xml:space="preserve"> </w:t>
      </w:r>
    </w:p>
    <w:p w14:paraId="5785C20D">
      <w:pPr>
        <w:spacing w:after="0"/>
        <w:jc w:val="both"/>
        <w:rPr>
          <w:sz w:val="24"/>
          <w:szCs w:val="24"/>
        </w:rPr>
      </w:pPr>
      <w:r>
        <w:rPr>
          <w:sz w:val="24"/>
          <w:szCs w:val="24"/>
        </w:rPr>
        <w:t xml:space="preserve">All land lease agreements for the wind turbine towers and grid connection route are ready to be signed; the lease price is $1,500/tower/month, </w:t>
      </w:r>
    </w:p>
    <w:p w14:paraId="5C6754E5">
      <w:pPr>
        <w:spacing w:after="0"/>
        <w:jc w:val="both"/>
        <w:rPr>
          <w:sz w:val="24"/>
          <w:szCs w:val="24"/>
        </w:rPr>
      </w:pPr>
      <w:r>
        <w:rPr>
          <w:sz w:val="24"/>
          <w:szCs w:val="24"/>
        </w:rPr>
        <w:t>The land for the step-up station must be purchased according to law, and the price is $350,000.</w:t>
      </w:r>
    </w:p>
    <w:p w14:paraId="66A36788">
      <w:pPr>
        <w:spacing w:after="0"/>
        <w:jc w:val="both"/>
        <w:rPr>
          <w:sz w:val="24"/>
          <w:szCs w:val="24"/>
        </w:rPr>
      </w:pPr>
    </w:p>
    <w:p w14:paraId="359726D5">
      <w:pPr>
        <w:spacing w:before="120" w:after="0"/>
        <w:jc w:val="both"/>
        <w:rPr>
          <w:b/>
          <w:bCs/>
          <w:sz w:val="24"/>
          <w:szCs w:val="24"/>
        </w:rPr>
      </w:pPr>
      <w:r>
        <w:rPr>
          <w:b/>
          <w:bCs/>
          <w:sz w:val="24"/>
          <w:szCs w:val="24"/>
        </w:rPr>
        <w:t>Estimated Project Milestone Schedule:</w:t>
      </w:r>
    </w:p>
    <w:p w14:paraId="24F295C6">
      <w:pPr>
        <w:spacing w:before="120" w:after="0"/>
        <w:jc w:val="both"/>
        <w:rPr>
          <w:sz w:val="24"/>
          <w:szCs w:val="24"/>
        </w:rPr>
      </w:pPr>
      <w:r>
        <w:rPr>
          <w:sz w:val="24"/>
          <w:szCs w:val="24"/>
        </w:rPr>
        <w:t>December 2025</w:t>
      </w:r>
      <w:r>
        <w:rPr>
          <w:sz w:val="24"/>
          <w:szCs w:val="24"/>
        </w:rPr>
        <w:tab/>
      </w:r>
      <w:r>
        <w:rPr>
          <w:sz w:val="24"/>
          <w:szCs w:val="24"/>
        </w:rPr>
        <w:t xml:space="preserve">PPA price and terms have been agreed to with CUED.  </w:t>
      </w:r>
    </w:p>
    <w:p w14:paraId="2EA7FD5C">
      <w:pPr>
        <w:spacing w:before="120" w:after="0"/>
        <w:jc w:val="both"/>
        <w:rPr>
          <w:sz w:val="24"/>
          <w:szCs w:val="24"/>
        </w:rPr>
      </w:pPr>
      <w:r>
        <w:rPr>
          <w:sz w:val="24"/>
          <w:szCs w:val="24"/>
        </w:rPr>
        <w:t>February 2026</w:t>
      </w:r>
      <w:r>
        <w:rPr>
          <w:sz w:val="24"/>
          <w:szCs w:val="24"/>
        </w:rPr>
        <w:tab/>
      </w:r>
      <w:r>
        <w:rPr>
          <w:sz w:val="24"/>
          <w:szCs w:val="24"/>
        </w:rPr>
        <w:tab/>
      </w:r>
      <w:r>
        <w:rPr>
          <w:sz w:val="24"/>
          <w:szCs w:val="24"/>
        </w:rPr>
        <w:t>Sign PPA</w:t>
      </w:r>
    </w:p>
    <w:p w14:paraId="5F729FAA">
      <w:pPr>
        <w:spacing w:before="120" w:after="0"/>
        <w:jc w:val="both"/>
        <w:rPr>
          <w:sz w:val="24"/>
          <w:szCs w:val="24"/>
        </w:rPr>
      </w:pPr>
      <w:r>
        <w:rPr>
          <w:sz w:val="24"/>
          <w:szCs w:val="24"/>
        </w:rPr>
        <w:t>August 2026</w:t>
      </w:r>
      <w:r>
        <w:rPr>
          <w:sz w:val="24"/>
          <w:szCs w:val="24"/>
        </w:rPr>
        <w:tab/>
      </w:r>
      <w:r>
        <w:rPr>
          <w:sz w:val="24"/>
          <w:szCs w:val="24"/>
        </w:rPr>
        <w:tab/>
      </w:r>
      <w:r>
        <w:rPr>
          <w:sz w:val="24"/>
          <w:szCs w:val="24"/>
        </w:rPr>
        <w:t>Start of construction: starting the foundation for the on-site step station is considered start-of-construction.</w:t>
      </w:r>
    </w:p>
    <w:p w14:paraId="24D6E78F">
      <w:pPr>
        <w:spacing w:before="120" w:after="0"/>
        <w:jc w:val="both"/>
        <w:rPr>
          <w:sz w:val="24"/>
          <w:szCs w:val="24"/>
        </w:rPr>
      </w:pPr>
      <w:r>
        <w:rPr>
          <w:sz w:val="24"/>
          <w:szCs w:val="24"/>
        </w:rPr>
        <w:t>July 2028</w:t>
      </w:r>
      <w:r>
        <w:rPr>
          <w:sz w:val="24"/>
          <w:szCs w:val="24"/>
        </w:rPr>
        <w:tab/>
      </w:r>
      <w:r>
        <w:rPr>
          <w:sz w:val="24"/>
          <w:szCs w:val="24"/>
        </w:rPr>
        <w:tab/>
      </w:r>
      <w:r>
        <w:rPr>
          <w:sz w:val="24"/>
          <w:szCs w:val="24"/>
        </w:rPr>
        <w:t>We have two years to achieve COD date without paying penalties.</w:t>
      </w:r>
    </w:p>
    <w:p w14:paraId="12F5338E">
      <w:pPr>
        <w:spacing w:before="120" w:after="0"/>
        <w:jc w:val="both"/>
        <w:rPr>
          <w:sz w:val="24"/>
          <w:szCs w:val="24"/>
        </w:rPr>
      </w:pPr>
    </w:p>
    <w:p w14:paraId="6CFFC358">
      <w:pPr>
        <w:spacing w:before="120" w:after="0"/>
        <w:jc w:val="both"/>
        <w:rPr>
          <w:sz w:val="24"/>
          <w:szCs w:val="24"/>
        </w:rPr>
      </w:pPr>
    </w:p>
    <w:p w14:paraId="7DF945EC">
      <w:pPr>
        <w:spacing w:before="120" w:after="0"/>
        <w:jc w:val="both"/>
        <w:rPr>
          <w:b/>
          <w:bCs/>
          <w:sz w:val="24"/>
          <w:szCs w:val="24"/>
        </w:rPr>
      </w:pPr>
    </w:p>
    <w:p w14:paraId="66D1C4B0">
      <w:pPr>
        <w:spacing w:after="0"/>
      </w:pPr>
    </w:p>
    <w:p w14:paraId="252DB9D0">
      <w:pPr>
        <w:spacing w:before="120" w:after="0"/>
        <w:jc w:val="both"/>
        <w:rPr>
          <w:sz w:val="24"/>
          <w:szCs w:val="24"/>
        </w:rPr>
      </w:pPr>
      <w:r>
        <w:rPr>
          <w:b/>
          <w:bCs/>
          <w:sz w:val="24"/>
          <w:szCs w:val="24"/>
        </w:rPr>
        <w:t>Financial Projections</w:t>
      </w:r>
      <w:r>
        <w:rPr>
          <w:sz w:val="24"/>
          <w:szCs w:val="24"/>
        </w:rPr>
        <w:t>. Using P50 wind CF of 38% (3329 hours) with first year energy production of 166 GWh, unlevered IRR is 21%.      At P75 wind CF of 29.1% (2549 hours), the unlevered IRR is 14.25%.  We assume step-up station costs $7.5 million, shipping (ocean and inland) is $8 million, and the remaining EPC cost is $32.5 million (based on Chinese turbines).</w:t>
      </w:r>
    </w:p>
    <w:p w14:paraId="104253B3">
      <w:pPr>
        <w:spacing w:after="0"/>
      </w:pPr>
    </w:p>
    <w:p w14:paraId="228E9734">
      <w:pPr>
        <w:spacing w:after="0"/>
      </w:pPr>
      <w:r>
        <w:drawing>
          <wp:inline distT="0" distB="0" distL="0" distR="0">
            <wp:extent cx="8092440" cy="4352290"/>
            <wp:effectExtent l="0" t="0" r="0" b="3810"/>
            <wp:docPr id="1477963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63521" name="Picture 1"/>
                    <pic:cNvPicPr>
                      <a:picLocks noChangeAspect="1"/>
                    </pic:cNvPicPr>
                  </pic:nvPicPr>
                  <pic:blipFill>
                    <a:blip r:embed="rId9"/>
                    <a:stretch>
                      <a:fillRect/>
                    </a:stretch>
                  </pic:blipFill>
                  <pic:spPr>
                    <a:xfrm>
                      <a:off x="0" y="0"/>
                      <a:ext cx="8092440" cy="4352290"/>
                    </a:xfrm>
                    <a:prstGeom prst="rect">
                      <a:avLst/>
                    </a:prstGeom>
                  </pic:spPr>
                </pic:pic>
              </a:graphicData>
            </a:graphic>
          </wp:inline>
        </w:drawing>
      </w:r>
    </w:p>
    <w:sectPr>
      <w:headerReference r:id="rId5" w:type="first"/>
      <w:pgSz w:w="15840" w:h="12240" w:orient="landscape"/>
      <w:pgMar w:top="1440" w:right="1656" w:bottom="1440" w:left="1440" w:header="0" w:footer="576"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A1"/>
    <w:family w:val="roman"/>
    <w:pitch w:val="default"/>
    <w:sig w:usb0="E0000AFF" w:usb1="00007843" w:usb2="00000001" w:usb3="00000000" w:csb0="400001BF" w:csb1="DFF7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SimSun">
    <w:altName w:val="汉仪书宋二KW"/>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SimHei">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SimSun">
    <w:altName w:val="汉仪书宋二KW"/>
    <w:panose1 w:val="00000000000000000000"/>
    <w:charset w:val="00"/>
    <w:family w:val="auto"/>
    <w:pitch w:val="default"/>
    <w:sig w:usb0="00000000" w:usb1="00000000" w:usb2="00000000" w:usb3="00000000" w:csb0="00000000" w:csb1="00000000"/>
  </w:font>
  <w:font w:name="Calibri">
    <w:altName w:val="Helvetica Neue"/>
    <w:panose1 w:val="020F0502020204030204"/>
    <w:charset w:val="A1"/>
    <w:family w:val="swiss"/>
    <w:pitch w:val="default"/>
    <w:sig w:usb0="00000000" w:usb1="00000000" w:usb2="00000009" w:usb3="00000000" w:csb0="000001FF" w:csb1="00000000"/>
  </w:font>
  <w:font w:name="Calibri">
    <w:altName w:val="Helvetica Neue"/>
    <w:panose1 w:val="00000000000000000000"/>
    <w:charset w:val="00"/>
    <w:family w:val="auto"/>
    <w:pitch w:val="default"/>
    <w:sig w:usb0="00000000" w:usb1="00000000" w:usb2="00000000" w:usb3="00000000" w:csb0="00000000" w:csb1="00000000"/>
  </w:font>
  <w:font w:name="Garamond">
    <w:altName w:val="苹方-简"/>
    <w:panose1 w:val="02020404030301010803"/>
    <w:charset w:val="00"/>
    <w:family w:val="roman"/>
    <w:pitch w:val="default"/>
    <w:sig w:usb0="00000000" w:usb1="00000000" w:usb2="00000000" w:usb3="00000000" w:csb0="0000009F" w:csb1="00000000"/>
  </w:font>
  <w:font w:name="ＭＳ ゴシック">
    <w:altName w:val="苹方-简"/>
    <w:panose1 w:val="00000000000000000000"/>
    <w:charset w:val="00"/>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Lucida Grande">
    <w:panose1 w:val="020B0600040502020204"/>
    <w:charset w:val="00"/>
    <w:family w:val="swiss"/>
    <w:pitch w:val="default"/>
    <w:sig w:usb0="E1000AEF" w:usb1="5000A1FF" w:usb2="00000000" w:usb3="00000000" w:csb0="200001BF" w:csb1="4F010000"/>
  </w:font>
  <w:font w:name="Cambria">
    <w:altName w:val="苹方-简"/>
    <w:panose1 w:val="02040503050406030204"/>
    <w:charset w:val="00"/>
    <w:family w:val="roman"/>
    <w:pitch w:val="default"/>
    <w:sig w:usb0="00000000" w:usb1="00000000" w:usb2="02000000" w:usb3="00000000" w:csb0="0000019F" w:csb1="00000000"/>
  </w:font>
  <w:font w:name="Courier New">
    <w:panose1 w:val="02070409020205090404"/>
    <w:charset w:val="00"/>
    <w:family w:val="modern"/>
    <w:pitch w:val="default"/>
    <w:sig w:usb0="E0000AFF" w:usb1="40007843" w:usb2="00000001" w:usb3="00000000" w:csb0="400001BF" w:csb1="DFF7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8894B">
    <w:pPr>
      <w:pStyle w:val="15"/>
      <w:spacing w:before="100" w:beforeAutospacing="1" w:after="360"/>
      <w:rPr>
        <w:sz w:val="36"/>
        <w:szCs w:val="36"/>
      </w:rPr>
    </w:pPr>
    <w:r>
      <w:rPr>
        <w:sz w:val="36"/>
        <w:szCs w:val="36"/>
      </w:rPr>
      <mc:AlternateContent>
        <mc:Choice Requires="wps">
          <w:drawing>
            <wp:anchor distT="0" distB="0" distL="114300" distR="114300" simplePos="0" relativeHeight="251661312" behindDoc="0" locked="0" layoutInCell="1" allowOverlap="1">
              <wp:simplePos x="0" y="0"/>
              <wp:positionH relativeFrom="column">
                <wp:posOffset>-552450</wp:posOffset>
              </wp:positionH>
              <wp:positionV relativeFrom="paragraph">
                <wp:posOffset>882015</wp:posOffset>
              </wp:positionV>
              <wp:extent cx="9399270" cy="17145"/>
              <wp:effectExtent l="0" t="0" r="31115" b="21590"/>
              <wp:wrapNone/>
              <wp:docPr id="19" name="Straight Connector 19"/>
              <wp:cNvGraphicFramePr/>
              <a:graphic xmlns:a="http://schemas.openxmlformats.org/drawingml/2006/main">
                <a:graphicData uri="http://schemas.microsoft.com/office/word/2010/wordprocessingShape">
                  <wps:wsp>
                    <wps:cNvCnPr/>
                    <wps:spPr>
                      <a:xfrm>
                        <a:off x="0" y="0"/>
                        <a:ext cx="9399181" cy="168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o:spt="20" style="position:absolute;left:0pt;margin-left:-43.5pt;margin-top:69.45pt;height:1.35pt;width:740.1pt;z-index:251661312;mso-width-relative:page;mso-height-relative:page;" filled="f" stroked="t" coordsize="21600,21600" o:gfxdata="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vNF3LdAAAADAEAAA8AAAAAAAAAAQAgAAAAIgAAAGRycy9kb3ducmV2LnhtbFBLAQIUABQA&#10;AAAIAIdO4kACcPyJ6wEAANwDAAAOAAAAAAAAAAEAIAAAACwBAABkcnMvZTJvRG9jLnhtbFBLBQYA&#10;AAAABgAGAFkBAACJBQAAAAA=&#10;">
              <v:fill on="f" focussize="0,0"/>
              <v:stroke color="#4A7EBB [3204]" joinstyle="round"/>
              <v:imagedata o:title=""/>
              <o:lock v:ext="edit" aspectratio="f"/>
            </v:line>
          </w:pict>
        </mc:Fallback>
      </mc:AlternateContent>
    </w:r>
    <w:r>
      <w:drawing>
        <wp:inline distT="0" distB="0" distL="0" distR="0">
          <wp:extent cx="864870" cy="864870"/>
          <wp:effectExtent l="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pic:cNvPicPr>
                    <a:picLocks noChangeAspect="1"/>
                  </pic:cNvPicPr>
                </pic:nvPicPr>
                <pic:blipFill>
                  <a:blip r:embed="rId1" cstate="screen"/>
                  <a:srcRect/>
                  <a:stretch>
                    <a:fillRect/>
                  </a:stretch>
                </pic:blipFill>
                <pic:spPr>
                  <a:xfrm>
                    <a:off x="0" y="0"/>
                    <a:ext cx="865326" cy="865326"/>
                  </a:xfrm>
                  <a:prstGeom prst="rect">
                    <a:avLst/>
                  </a:prstGeom>
                </pic:spPr>
              </pic:pic>
            </a:graphicData>
          </a:graphic>
        </wp:inline>
      </w:drawing>
    </w:r>
    <w:r>
      <w:rPr>
        <w:sz w:val="36"/>
        <w:szCs w:val="36"/>
      </w:rPr>
      <w:t>FT Energy Partners</w:t>
    </w:r>
    <w:r>
      <w:rPr>
        <w:sz w:val="36"/>
        <w:szCs w:val="36"/>
      </w:rPr>
      <w:tab/>
    </w:r>
    <w:r>
      <w:rPr>
        <w:sz w:val="36"/>
        <w:szCs w:val="36"/>
      </w:rPr>
      <w:tab/>
    </w:r>
    <w:r>
      <w:rPr>
        <w:sz w:val="36"/>
        <w:szCs w:val="36"/>
      </w:rPr>
      <w:t xml:space="preserve">            </w:t>
    </w:r>
  </w:p>
  <w:p w14:paraId="27A7DB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720F07"/>
    <w:multiLevelType w:val="multilevel"/>
    <w:tmpl w:val="40720F07"/>
    <w:lvl w:ilvl="0" w:tentative="0">
      <w:start w:val="0"/>
      <w:numFmt w:val="bullet"/>
      <w:lvlText w:val="-"/>
      <w:lvlJc w:val="left"/>
      <w:pPr>
        <w:ind w:left="720" w:hanging="360"/>
      </w:pPr>
      <w:rPr>
        <w:rFonts w:hint="default" w:ascii="Garamond" w:hAnsi="Garamond"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removePersonalInformation/>
  <w:documentProtection w:enforcement="0"/>
  <w:defaultTabStop w:val="720"/>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UyMrQ0NTGxMLQ0NzVR0lEKTi0uzszPAykwrAUA3D82NiwAAAA="/>
  </w:docVars>
  <w:rsids>
    <w:rsidRoot w:val="006932B6"/>
    <w:rsid w:val="00000BE3"/>
    <w:rsid w:val="00000C97"/>
    <w:rsid w:val="00002100"/>
    <w:rsid w:val="000028C5"/>
    <w:rsid w:val="000034CB"/>
    <w:rsid w:val="0000361F"/>
    <w:rsid w:val="00005702"/>
    <w:rsid w:val="0000725E"/>
    <w:rsid w:val="00010AF3"/>
    <w:rsid w:val="0001614D"/>
    <w:rsid w:val="000178F6"/>
    <w:rsid w:val="0002030E"/>
    <w:rsid w:val="0002256B"/>
    <w:rsid w:val="00023068"/>
    <w:rsid w:val="00035E6D"/>
    <w:rsid w:val="000360D9"/>
    <w:rsid w:val="00040A41"/>
    <w:rsid w:val="0004161F"/>
    <w:rsid w:val="00046738"/>
    <w:rsid w:val="00050A3B"/>
    <w:rsid w:val="0005258C"/>
    <w:rsid w:val="00061FAC"/>
    <w:rsid w:val="0006542B"/>
    <w:rsid w:val="00070CF7"/>
    <w:rsid w:val="00071694"/>
    <w:rsid w:val="00071BFB"/>
    <w:rsid w:val="00071F5B"/>
    <w:rsid w:val="00072962"/>
    <w:rsid w:val="000740CF"/>
    <w:rsid w:val="0007478E"/>
    <w:rsid w:val="000839DD"/>
    <w:rsid w:val="000840AC"/>
    <w:rsid w:val="00084ED5"/>
    <w:rsid w:val="00087427"/>
    <w:rsid w:val="00090A7C"/>
    <w:rsid w:val="00092082"/>
    <w:rsid w:val="0009265F"/>
    <w:rsid w:val="00092B5F"/>
    <w:rsid w:val="00092B7C"/>
    <w:rsid w:val="00093595"/>
    <w:rsid w:val="00094CC3"/>
    <w:rsid w:val="0009518E"/>
    <w:rsid w:val="00097796"/>
    <w:rsid w:val="000A061C"/>
    <w:rsid w:val="000A70CD"/>
    <w:rsid w:val="000B007F"/>
    <w:rsid w:val="000B0C54"/>
    <w:rsid w:val="000B1CF5"/>
    <w:rsid w:val="000B2CD4"/>
    <w:rsid w:val="000B3958"/>
    <w:rsid w:val="000B50FF"/>
    <w:rsid w:val="000B5972"/>
    <w:rsid w:val="000B7849"/>
    <w:rsid w:val="000C06A9"/>
    <w:rsid w:val="000C0C2B"/>
    <w:rsid w:val="000C3EB6"/>
    <w:rsid w:val="000C5682"/>
    <w:rsid w:val="000D014F"/>
    <w:rsid w:val="000D3020"/>
    <w:rsid w:val="000D35DF"/>
    <w:rsid w:val="000D3986"/>
    <w:rsid w:val="000D41DC"/>
    <w:rsid w:val="000D45DA"/>
    <w:rsid w:val="000D522F"/>
    <w:rsid w:val="000D7716"/>
    <w:rsid w:val="000E2CF8"/>
    <w:rsid w:val="000E2D47"/>
    <w:rsid w:val="000E398C"/>
    <w:rsid w:val="000E3AB8"/>
    <w:rsid w:val="000E7F19"/>
    <w:rsid w:val="000F010E"/>
    <w:rsid w:val="000F2CB4"/>
    <w:rsid w:val="000F6C24"/>
    <w:rsid w:val="000F7034"/>
    <w:rsid w:val="001009EC"/>
    <w:rsid w:val="001070E9"/>
    <w:rsid w:val="0011006C"/>
    <w:rsid w:val="00110533"/>
    <w:rsid w:val="001112E5"/>
    <w:rsid w:val="00112DE3"/>
    <w:rsid w:val="00114F88"/>
    <w:rsid w:val="001164D6"/>
    <w:rsid w:val="00116530"/>
    <w:rsid w:val="001175B2"/>
    <w:rsid w:val="00120078"/>
    <w:rsid w:val="0012032D"/>
    <w:rsid w:val="0012060A"/>
    <w:rsid w:val="00123180"/>
    <w:rsid w:val="001246B5"/>
    <w:rsid w:val="00127B10"/>
    <w:rsid w:val="001305F6"/>
    <w:rsid w:val="00130DBA"/>
    <w:rsid w:val="00130F95"/>
    <w:rsid w:val="0013255A"/>
    <w:rsid w:val="0013391A"/>
    <w:rsid w:val="001352B0"/>
    <w:rsid w:val="001368E4"/>
    <w:rsid w:val="0014016B"/>
    <w:rsid w:val="00140C8F"/>
    <w:rsid w:val="0014485C"/>
    <w:rsid w:val="00146F57"/>
    <w:rsid w:val="0015210D"/>
    <w:rsid w:val="00152527"/>
    <w:rsid w:val="001539FF"/>
    <w:rsid w:val="00156A42"/>
    <w:rsid w:val="00160253"/>
    <w:rsid w:val="001628A9"/>
    <w:rsid w:val="00162D5F"/>
    <w:rsid w:val="00163D5E"/>
    <w:rsid w:val="001640D4"/>
    <w:rsid w:val="00164B7E"/>
    <w:rsid w:val="0017170D"/>
    <w:rsid w:val="00171BB4"/>
    <w:rsid w:val="00171C45"/>
    <w:rsid w:val="0018225F"/>
    <w:rsid w:val="0018443F"/>
    <w:rsid w:val="00186FF7"/>
    <w:rsid w:val="0018727D"/>
    <w:rsid w:val="0019250E"/>
    <w:rsid w:val="001929B3"/>
    <w:rsid w:val="00193A13"/>
    <w:rsid w:val="00195127"/>
    <w:rsid w:val="0019597F"/>
    <w:rsid w:val="001976BD"/>
    <w:rsid w:val="00197C23"/>
    <w:rsid w:val="001A0748"/>
    <w:rsid w:val="001A1745"/>
    <w:rsid w:val="001A6052"/>
    <w:rsid w:val="001A740D"/>
    <w:rsid w:val="001B616B"/>
    <w:rsid w:val="001B7498"/>
    <w:rsid w:val="001B7615"/>
    <w:rsid w:val="001B7681"/>
    <w:rsid w:val="001C2CD2"/>
    <w:rsid w:val="001C2EBA"/>
    <w:rsid w:val="001C40FF"/>
    <w:rsid w:val="001C534F"/>
    <w:rsid w:val="001C749C"/>
    <w:rsid w:val="001D1268"/>
    <w:rsid w:val="001E1E9B"/>
    <w:rsid w:val="001E62D8"/>
    <w:rsid w:val="001F0C32"/>
    <w:rsid w:val="001F184D"/>
    <w:rsid w:val="001F52ED"/>
    <w:rsid w:val="001F5A67"/>
    <w:rsid w:val="00205133"/>
    <w:rsid w:val="00212238"/>
    <w:rsid w:val="00217C75"/>
    <w:rsid w:val="002203F3"/>
    <w:rsid w:val="00221206"/>
    <w:rsid w:val="002219E7"/>
    <w:rsid w:val="00222807"/>
    <w:rsid w:val="00223765"/>
    <w:rsid w:val="00223BE9"/>
    <w:rsid w:val="00224B26"/>
    <w:rsid w:val="00224C9C"/>
    <w:rsid w:val="002322DB"/>
    <w:rsid w:val="00236EA6"/>
    <w:rsid w:val="002410D9"/>
    <w:rsid w:val="00244777"/>
    <w:rsid w:val="00245BF9"/>
    <w:rsid w:val="00246AE2"/>
    <w:rsid w:val="00252C11"/>
    <w:rsid w:val="002553E0"/>
    <w:rsid w:val="00257E2C"/>
    <w:rsid w:val="00265865"/>
    <w:rsid w:val="00266FAE"/>
    <w:rsid w:val="00267077"/>
    <w:rsid w:val="00272C2C"/>
    <w:rsid w:val="00272C4F"/>
    <w:rsid w:val="0027524C"/>
    <w:rsid w:val="00276B87"/>
    <w:rsid w:val="00277AC4"/>
    <w:rsid w:val="0028193C"/>
    <w:rsid w:val="00281E4E"/>
    <w:rsid w:val="00283602"/>
    <w:rsid w:val="00290A52"/>
    <w:rsid w:val="00292BE7"/>
    <w:rsid w:val="00295863"/>
    <w:rsid w:val="00296B78"/>
    <w:rsid w:val="002A02F8"/>
    <w:rsid w:val="002A10AE"/>
    <w:rsid w:val="002A263F"/>
    <w:rsid w:val="002B0153"/>
    <w:rsid w:val="002B405B"/>
    <w:rsid w:val="002B4B54"/>
    <w:rsid w:val="002B5935"/>
    <w:rsid w:val="002C18C6"/>
    <w:rsid w:val="002C6F63"/>
    <w:rsid w:val="002D2D98"/>
    <w:rsid w:val="002D3EF1"/>
    <w:rsid w:val="002D5443"/>
    <w:rsid w:val="002D7742"/>
    <w:rsid w:val="002D7A13"/>
    <w:rsid w:val="002D7AC1"/>
    <w:rsid w:val="002E22CC"/>
    <w:rsid w:val="002E4E3D"/>
    <w:rsid w:val="002E71BB"/>
    <w:rsid w:val="002E7F13"/>
    <w:rsid w:val="002F07BB"/>
    <w:rsid w:val="002F22DA"/>
    <w:rsid w:val="002F2641"/>
    <w:rsid w:val="002F459B"/>
    <w:rsid w:val="002F4F2F"/>
    <w:rsid w:val="00304031"/>
    <w:rsid w:val="003061CD"/>
    <w:rsid w:val="00306D6D"/>
    <w:rsid w:val="00313342"/>
    <w:rsid w:val="00321CBA"/>
    <w:rsid w:val="0032298E"/>
    <w:rsid w:val="0032478D"/>
    <w:rsid w:val="00324A8B"/>
    <w:rsid w:val="003260C0"/>
    <w:rsid w:val="00326D11"/>
    <w:rsid w:val="003305AA"/>
    <w:rsid w:val="00333191"/>
    <w:rsid w:val="00333970"/>
    <w:rsid w:val="003341C6"/>
    <w:rsid w:val="0033436A"/>
    <w:rsid w:val="0033531E"/>
    <w:rsid w:val="00337E0C"/>
    <w:rsid w:val="00340FE1"/>
    <w:rsid w:val="003434AF"/>
    <w:rsid w:val="0034351B"/>
    <w:rsid w:val="00344A14"/>
    <w:rsid w:val="00345EAD"/>
    <w:rsid w:val="0034661C"/>
    <w:rsid w:val="00350EE8"/>
    <w:rsid w:val="00350F4E"/>
    <w:rsid w:val="003536B0"/>
    <w:rsid w:val="00354CE2"/>
    <w:rsid w:val="00355363"/>
    <w:rsid w:val="003624A4"/>
    <w:rsid w:val="0036273E"/>
    <w:rsid w:val="0036278C"/>
    <w:rsid w:val="00365B5E"/>
    <w:rsid w:val="00370599"/>
    <w:rsid w:val="0037187B"/>
    <w:rsid w:val="00372084"/>
    <w:rsid w:val="00373CCD"/>
    <w:rsid w:val="003742F1"/>
    <w:rsid w:val="003743F0"/>
    <w:rsid w:val="00374CAC"/>
    <w:rsid w:val="003838E2"/>
    <w:rsid w:val="00383C4D"/>
    <w:rsid w:val="00385621"/>
    <w:rsid w:val="0038685F"/>
    <w:rsid w:val="00386EB4"/>
    <w:rsid w:val="0038769C"/>
    <w:rsid w:val="00396100"/>
    <w:rsid w:val="00396FBE"/>
    <w:rsid w:val="003A011F"/>
    <w:rsid w:val="003A09FE"/>
    <w:rsid w:val="003A0BE3"/>
    <w:rsid w:val="003A0EEA"/>
    <w:rsid w:val="003A1707"/>
    <w:rsid w:val="003A2AD6"/>
    <w:rsid w:val="003A37F9"/>
    <w:rsid w:val="003A523F"/>
    <w:rsid w:val="003A52D5"/>
    <w:rsid w:val="003A58C7"/>
    <w:rsid w:val="003B57AA"/>
    <w:rsid w:val="003B65F7"/>
    <w:rsid w:val="003C2A62"/>
    <w:rsid w:val="003C3D2A"/>
    <w:rsid w:val="003C5498"/>
    <w:rsid w:val="003D0BF6"/>
    <w:rsid w:val="003D2539"/>
    <w:rsid w:val="003D37BE"/>
    <w:rsid w:val="003D49E3"/>
    <w:rsid w:val="003D5E01"/>
    <w:rsid w:val="003D6340"/>
    <w:rsid w:val="003D6650"/>
    <w:rsid w:val="003D6CC0"/>
    <w:rsid w:val="003E5EFA"/>
    <w:rsid w:val="003E637F"/>
    <w:rsid w:val="003E672A"/>
    <w:rsid w:val="003E6A19"/>
    <w:rsid w:val="003F0B98"/>
    <w:rsid w:val="003F2086"/>
    <w:rsid w:val="003F2EB2"/>
    <w:rsid w:val="003F5593"/>
    <w:rsid w:val="003F5D00"/>
    <w:rsid w:val="004049C8"/>
    <w:rsid w:val="00405014"/>
    <w:rsid w:val="004051D0"/>
    <w:rsid w:val="00410066"/>
    <w:rsid w:val="00410322"/>
    <w:rsid w:val="004131B7"/>
    <w:rsid w:val="004179CC"/>
    <w:rsid w:val="004203E2"/>
    <w:rsid w:val="00421A22"/>
    <w:rsid w:val="004221D4"/>
    <w:rsid w:val="004226F1"/>
    <w:rsid w:val="00430676"/>
    <w:rsid w:val="0043110F"/>
    <w:rsid w:val="0043251D"/>
    <w:rsid w:val="00432A0A"/>
    <w:rsid w:val="004342FC"/>
    <w:rsid w:val="004422BF"/>
    <w:rsid w:val="0044234E"/>
    <w:rsid w:val="0044284A"/>
    <w:rsid w:val="0044327E"/>
    <w:rsid w:val="004448BC"/>
    <w:rsid w:val="00444DA9"/>
    <w:rsid w:val="00447B22"/>
    <w:rsid w:val="00450B01"/>
    <w:rsid w:val="00452144"/>
    <w:rsid w:val="004522B4"/>
    <w:rsid w:val="00452345"/>
    <w:rsid w:val="00455A43"/>
    <w:rsid w:val="0045771F"/>
    <w:rsid w:val="00457CC5"/>
    <w:rsid w:val="004600ED"/>
    <w:rsid w:val="00465C64"/>
    <w:rsid w:val="00472218"/>
    <w:rsid w:val="00472A88"/>
    <w:rsid w:val="00472E28"/>
    <w:rsid w:val="00473F7B"/>
    <w:rsid w:val="00474187"/>
    <w:rsid w:val="00474A63"/>
    <w:rsid w:val="00480B6D"/>
    <w:rsid w:val="004811D0"/>
    <w:rsid w:val="00481946"/>
    <w:rsid w:val="00482051"/>
    <w:rsid w:val="00482309"/>
    <w:rsid w:val="004832BF"/>
    <w:rsid w:val="0049018D"/>
    <w:rsid w:val="004911CD"/>
    <w:rsid w:val="004932B1"/>
    <w:rsid w:val="00496E64"/>
    <w:rsid w:val="004A1963"/>
    <w:rsid w:val="004A3A83"/>
    <w:rsid w:val="004A438C"/>
    <w:rsid w:val="004B05E1"/>
    <w:rsid w:val="004B5467"/>
    <w:rsid w:val="004B6168"/>
    <w:rsid w:val="004B62E9"/>
    <w:rsid w:val="004B6614"/>
    <w:rsid w:val="004B67E7"/>
    <w:rsid w:val="004C05F0"/>
    <w:rsid w:val="004C0E7A"/>
    <w:rsid w:val="004C1FB5"/>
    <w:rsid w:val="004C2788"/>
    <w:rsid w:val="004C4DAA"/>
    <w:rsid w:val="004C545D"/>
    <w:rsid w:val="004C5C24"/>
    <w:rsid w:val="004C6EB2"/>
    <w:rsid w:val="004C7585"/>
    <w:rsid w:val="004C7ED4"/>
    <w:rsid w:val="004D7B59"/>
    <w:rsid w:val="004E25E0"/>
    <w:rsid w:val="004E29C2"/>
    <w:rsid w:val="004E3B39"/>
    <w:rsid w:val="004E4DE7"/>
    <w:rsid w:val="004E5081"/>
    <w:rsid w:val="004F6361"/>
    <w:rsid w:val="004F7056"/>
    <w:rsid w:val="004F7518"/>
    <w:rsid w:val="00500DE7"/>
    <w:rsid w:val="00500E99"/>
    <w:rsid w:val="00503661"/>
    <w:rsid w:val="0050393D"/>
    <w:rsid w:val="005067D7"/>
    <w:rsid w:val="00510ADE"/>
    <w:rsid w:val="00512136"/>
    <w:rsid w:val="005176FB"/>
    <w:rsid w:val="00530B6F"/>
    <w:rsid w:val="005320AD"/>
    <w:rsid w:val="00533266"/>
    <w:rsid w:val="00534A53"/>
    <w:rsid w:val="005358D7"/>
    <w:rsid w:val="00535FD1"/>
    <w:rsid w:val="00536053"/>
    <w:rsid w:val="00542C06"/>
    <w:rsid w:val="00545EFD"/>
    <w:rsid w:val="00550E75"/>
    <w:rsid w:val="005539C8"/>
    <w:rsid w:val="00555F5B"/>
    <w:rsid w:val="00560E22"/>
    <w:rsid w:val="00561079"/>
    <w:rsid w:val="0056343D"/>
    <w:rsid w:val="0056383F"/>
    <w:rsid w:val="00575290"/>
    <w:rsid w:val="0058682D"/>
    <w:rsid w:val="00587EF1"/>
    <w:rsid w:val="0059475F"/>
    <w:rsid w:val="00595515"/>
    <w:rsid w:val="0059587A"/>
    <w:rsid w:val="005A1987"/>
    <w:rsid w:val="005A735E"/>
    <w:rsid w:val="005A7C21"/>
    <w:rsid w:val="005B2C90"/>
    <w:rsid w:val="005B4152"/>
    <w:rsid w:val="005B72E0"/>
    <w:rsid w:val="005B7E7B"/>
    <w:rsid w:val="005C03C9"/>
    <w:rsid w:val="005C1C97"/>
    <w:rsid w:val="005C4A1F"/>
    <w:rsid w:val="005D06F4"/>
    <w:rsid w:val="005D209A"/>
    <w:rsid w:val="005D2C56"/>
    <w:rsid w:val="005D5119"/>
    <w:rsid w:val="005E0543"/>
    <w:rsid w:val="005E1100"/>
    <w:rsid w:val="005E183E"/>
    <w:rsid w:val="005E751B"/>
    <w:rsid w:val="005E7649"/>
    <w:rsid w:val="005E78ED"/>
    <w:rsid w:val="005F0B1B"/>
    <w:rsid w:val="005F609E"/>
    <w:rsid w:val="005F7314"/>
    <w:rsid w:val="005F79B4"/>
    <w:rsid w:val="0060063D"/>
    <w:rsid w:val="00601AEA"/>
    <w:rsid w:val="006076D2"/>
    <w:rsid w:val="006119D7"/>
    <w:rsid w:val="00612549"/>
    <w:rsid w:val="006151DF"/>
    <w:rsid w:val="00615F84"/>
    <w:rsid w:val="0062268C"/>
    <w:rsid w:val="00627CAA"/>
    <w:rsid w:val="00627D93"/>
    <w:rsid w:val="006408F9"/>
    <w:rsid w:val="00641834"/>
    <w:rsid w:val="0064241C"/>
    <w:rsid w:val="00642D6D"/>
    <w:rsid w:val="0064412C"/>
    <w:rsid w:val="006441E5"/>
    <w:rsid w:val="00647358"/>
    <w:rsid w:val="00647CB2"/>
    <w:rsid w:val="00651332"/>
    <w:rsid w:val="00651A6C"/>
    <w:rsid w:val="00651E4A"/>
    <w:rsid w:val="00652A2F"/>
    <w:rsid w:val="0066227E"/>
    <w:rsid w:val="006630FD"/>
    <w:rsid w:val="006645F9"/>
    <w:rsid w:val="00664954"/>
    <w:rsid w:val="0066575F"/>
    <w:rsid w:val="0066752D"/>
    <w:rsid w:val="00670DF5"/>
    <w:rsid w:val="00673A0D"/>
    <w:rsid w:val="00674259"/>
    <w:rsid w:val="0067468B"/>
    <w:rsid w:val="00681FD7"/>
    <w:rsid w:val="00685BB6"/>
    <w:rsid w:val="00685FA8"/>
    <w:rsid w:val="00686F52"/>
    <w:rsid w:val="006875AE"/>
    <w:rsid w:val="0069032D"/>
    <w:rsid w:val="006932B6"/>
    <w:rsid w:val="006965EE"/>
    <w:rsid w:val="0069698A"/>
    <w:rsid w:val="00696D21"/>
    <w:rsid w:val="006A118C"/>
    <w:rsid w:val="006A2B6A"/>
    <w:rsid w:val="006A2BBD"/>
    <w:rsid w:val="006A2DB8"/>
    <w:rsid w:val="006A5A89"/>
    <w:rsid w:val="006B0EEC"/>
    <w:rsid w:val="006B1E40"/>
    <w:rsid w:val="006B3CEC"/>
    <w:rsid w:val="006B45D9"/>
    <w:rsid w:val="006B5042"/>
    <w:rsid w:val="006B6BB7"/>
    <w:rsid w:val="006B75D6"/>
    <w:rsid w:val="006C0C8A"/>
    <w:rsid w:val="006C19C5"/>
    <w:rsid w:val="006C28FF"/>
    <w:rsid w:val="006C3F4D"/>
    <w:rsid w:val="006C6673"/>
    <w:rsid w:val="006D0D23"/>
    <w:rsid w:val="006D1A53"/>
    <w:rsid w:val="006D1ED2"/>
    <w:rsid w:val="006D390D"/>
    <w:rsid w:val="006D6ADC"/>
    <w:rsid w:val="006E0238"/>
    <w:rsid w:val="006E3AC6"/>
    <w:rsid w:val="006E41EF"/>
    <w:rsid w:val="006E42F8"/>
    <w:rsid w:val="006E5618"/>
    <w:rsid w:val="006E6F2C"/>
    <w:rsid w:val="006F0A48"/>
    <w:rsid w:val="006F0A50"/>
    <w:rsid w:val="006F2303"/>
    <w:rsid w:val="006F30C8"/>
    <w:rsid w:val="006F4BAF"/>
    <w:rsid w:val="006F4F21"/>
    <w:rsid w:val="006F5D87"/>
    <w:rsid w:val="006F7BAB"/>
    <w:rsid w:val="007027EB"/>
    <w:rsid w:val="00703354"/>
    <w:rsid w:val="0070469C"/>
    <w:rsid w:val="0070593F"/>
    <w:rsid w:val="00706FCB"/>
    <w:rsid w:val="00711E91"/>
    <w:rsid w:val="00715390"/>
    <w:rsid w:val="007162D5"/>
    <w:rsid w:val="0071678B"/>
    <w:rsid w:val="0071742A"/>
    <w:rsid w:val="007201E3"/>
    <w:rsid w:val="00723351"/>
    <w:rsid w:val="007247BF"/>
    <w:rsid w:val="00725C02"/>
    <w:rsid w:val="007268AC"/>
    <w:rsid w:val="00733774"/>
    <w:rsid w:val="00736237"/>
    <w:rsid w:val="00736880"/>
    <w:rsid w:val="00736C04"/>
    <w:rsid w:val="0073715B"/>
    <w:rsid w:val="007412D9"/>
    <w:rsid w:val="00743FDB"/>
    <w:rsid w:val="00744B68"/>
    <w:rsid w:val="00746671"/>
    <w:rsid w:val="00750227"/>
    <w:rsid w:val="00750DD8"/>
    <w:rsid w:val="00753A20"/>
    <w:rsid w:val="007546F2"/>
    <w:rsid w:val="00755738"/>
    <w:rsid w:val="007634F5"/>
    <w:rsid w:val="00763887"/>
    <w:rsid w:val="0076394A"/>
    <w:rsid w:val="0076522F"/>
    <w:rsid w:val="007655B9"/>
    <w:rsid w:val="00766EA2"/>
    <w:rsid w:val="007711C4"/>
    <w:rsid w:val="007731F7"/>
    <w:rsid w:val="007750C8"/>
    <w:rsid w:val="0077753A"/>
    <w:rsid w:val="00781B4C"/>
    <w:rsid w:val="00783365"/>
    <w:rsid w:val="007836DC"/>
    <w:rsid w:val="00783A8E"/>
    <w:rsid w:val="00783D03"/>
    <w:rsid w:val="00784361"/>
    <w:rsid w:val="00785BC0"/>
    <w:rsid w:val="00786044"/>
    <w:rsid w:val="00794270"/>
    <w:rsid w:val="00794A7F"/>
    <w:rsid w:val="0079618B"/>
    <w:rsid w:val="00796E90"/>
    <w:rsid w:val="007A04CB"/>
    <w:rsid w:val="007A07C4"/>
    <w:rsid w:val="007A0F3B"/>
    <w:rsid w:val="007A1A7C"/>
    <w:rsid w:val="007A76B3"/>
    <w:rsid w:val="007B1DD6"/>
    <w:rsid w:val="007B1E73"/>
    <w:rsid w:val="007B4A26"/>
    <w:rsid w:val="007B6100"/>
    <w:rsid w:val="007B6418"/>
    <w:rsid w:val="007B712C"/>
    <w:rsid w:val="007C00CC"/>
    <w:rsid w:val="007C042A"/>
    <w:rsid w:val="007C2495"/>
    <w:rsid w:val="007C2BFF"/>
    <w:rsid w:val="007C3020"/>
    <w:rsid w:val="007C6D9A"/>
    <w:rsid w:val="007C7E11"/>
    <w:rsid w:val="007D05B7"/>
    <w:rsid w:val="007D1960"/>
    <w:rsid w:val="007E110A"/>
    <w:rsid w:val="007E13F1"/>
    <w:rsid w:val="007E3166"/>
    <w:rsid w:val="007E323E"/>
    <w:rsid w:val="007E7453"/>
    <w:rsid w:val="007F5EAB"/>
    <w:rsid w:val="007F7F71"/>
    <w:rsid w:val="0080105B"/>
    <w:rsid w:val="00802C46"/>
    <w:rsid w:val="00804083"/>
    <w:rsid w:val="00804738"/>
    <w:rsid w:val="00805DAA"/>
    <w:rsid w:val="0080614A"/>
    <w:rsid w:val="00806F21"/>
    <w:rsid w:val="008103F2"/>
    <w:rsid w:val="00813A7D"/>
    <w:rsid w:val="008222CB"/>
    <w:rsid w:val="00822F8A"/>
    <w:rsid w:val="008238C9"/>
    <w:rsid w:val="008278E3"/>
    <w:rsid w:val="0083232A"/>
    <w:rsid w:val="0083240D"/>
    <w:rsid w:val="00833089"/>
    <w:rsid w:val="00834293"/>
    <w:rsid w:val="00837A53"/>
    <w:rsid w:val="00837BCE"/>
    <w:rsid w:val="008408D0"/>
    <w:rsid w:val="00841FC5"/>
    <w:rsid w:val="008424B9"/>
    <w:rsid w:val="008476AE"/>
    <w:rsid w:val="008509F7"/>
    <w:rsid w:val="00851761"/>
    <w:rsid w:val="008611ED"/>
    <w:rsid w:val="00861284"/>
    <w:rsid w:val="00870235"/>
    <w:rsid w:val="008713E3"/>
    <w:rsid w:val="00875E0C"/>
    <w:rsid w:val="00877607"/>
    <w:rsid w:val="00877DF3"/>
    <w:rsid w:val="008806C4"/>
    <w:rsid w:val="00884FEB"/>
    <w:rsid w:val="00885701"/>
    <w:rsid w:val="00887D29"/>
    <w:rsid w:val="00891526"/>
    <w:rsid w:val="00891BFD"/>
    <w:rsid w:val="008922D4"/>
    <w:rsid w:val="0089252D"/>
    <w:rsid w:val="0089280C"/>
    <w:rsid w:val="00892B99"/>
    <w:rsid w:val="00892CC2"/>
    <w:rsid w:val="00893669"/>
    <w:rsid w:val="00893812"/>
    <w:rsid w:val="008A16EE"/>
    <w:rsid w:val="008B0BBB"/>
    <w:rsid w:val="008B0C0A"/>
    <w:rsid w:val="008B34BA"/>
    <w:rsid w:val="008B3EC2"/>
    <w:rsid w:val="008B43E3"/>
    <w:rsid w:val="008B5445"/>
    <w:rsid w:val="008B6124"/>
    <w:rsid w:val="008B6285"/>
    <w:rsid w:val="008B7179"/>
    <w:rsid w:val="008B79A5"/>
    <w:rsid w:val="008B7D8D"/>
    <w:rsid w:val="008C4F37"/>
    <w:rsid w:val="008C774F"/>
    <w:rsid w:val="008C7A0E"/>
    <w:rsid w:val="008D6D8F"/>
    <w:rsid w:val="008E279D"/>
    <w:rsid w:val="008E2E82"/>
    <w:rsid w:val="008E475F"/>
    <w:rsid w:val="008E7AEA"/>
    <w:rsid w:val="008F1EC1"/>
    <w:rsid w:val="008F267D"/>
    <w:rsid w:val="008F2AF5"/>
    <w:rsid w:val="008F4152"/>
    <w:rsid w:val="008F71F9"/>
    <w:rsid w:val="00901356"/>
    <w:rsid w:val="009040A8"/>
    <w:rsid w:val="0090475E"/>
    <w:rsid w:val="0090570F"/>
    <w:rsid w:val="00907A7C"/>
    <w:rsid w:val="009115F4"/>
    <w:rsid w:val="0091189C"/>
    <w:rsid w:val="00911D81"/>
    <w:rsid w:val="009132FF"/>
    <w:rsid w:val="00913567"/>
    <w:rsid w:val="00914293"/>
    <w:rsid w:val="0091783D"/>
    <w:rsid w:val="009234D4"/>
    <w:rsid w:val="0092760C"/>
    <w:rsid w:val="00927FA2"/>
    <w:rsid w:val="00931F1B"/>
    <w:rsid w:val="00932334"/>
    <w:rsid w:val="00932705"/>
    <w:rsid w:val="0093390A"/>
    <w:rsid w:val="00933CB6"/>
    <w:rsid w:val="00937FE6"/>
    <w:rsid w:val="00940F75"/>
    <w:rsid w:val="00943F63"/>
    <w:rsid w:val="009455F8"/>
    <w:rsid w:val="00952570"/>
    <w:rsid w:val="00952FC8"/>
    <w:rsid w:val="00953351"/>
    <w:rsid w:val="00953533"/>
    <w:rsid w:val="00954D48"/>
    <w:rsid w:val="00957722"/>
    <w:rsid w:val="00963DCB"/>
    <w:rsid w:val="00970319"/>
    <w:rsid w:val="00971B01"/>
    <w:rsid w:val="00971E16"/>
    <w:rsid w:val="00971FBA"/>
    <w:rsid w:val="00973E0C"/>
    <w:rsid w:val="00973F22"/>
    <w:rsid w:val="00974E79"/>
    <w:rsid w:val="00981D67"/>
    <w:rsid w:val="00982030"/>
    <w:rsid w:val="00987D5C"/>
    <w:rsid w:val="009905B2"/>
    <w:rsid w:val="00991363"/>
    <w:rsid w:val="00991941"/>
    <w:rsid w:val="00991AE3"/>
    <w:rsid w:val="009921C3"/>
    <w:rsid w:val="00992F1E"/>
    <w:rsid w:val="009939F6"/>
    <w:rsid w:val="009943DE"/>
    <w:rsid w:val="009953C3"/>
    <w:rsid w:val="00997589"/>
    <w:rsid w:val="00997C6A"/>
    <w:rsid w:val="00997FD2"/>
    <w:rsid w:val="009A0199"/>
    <w:rsid w:val="009A24CF"/>
    <w:rsid w:val="009A2EF0"/>
    <w:rsid w:val="009A35A2"/>
    <w:rsid w:val="009A74A3"/>
    <w:rsid w:val="009B2337"/>
    <w:rsid w:val="009B5392"/>
    <w:rsid w:val="009B576D"/>
    <w:rsid w:val="009B7566"/>
    <w:rsid w:val="009C341B"/>
    <w:rsid w:val="009C583C"/>
    <w:rsid w:val="009C670F"/>
    <w:rsid w:val="009D02EB"/>
    <w:rsid w:val="009D52B1"/>
    <w:rsid w:val="009D5AEF"/>
    <w:rsid w:val="009D6EB4"/>
    <w:rsid w:val="009D7251"/>
    <w:rsid w:val="009E1DA3"/>
    <w:rsid w:val="009E1E03"/>
    <w:rsid w:val="009E3D5F"/>
    <w:rsid w:val="009E3E51"/>
    <w:rsid w:val="009E6877"/>
    <w:rsid w:val="00A03F31"/>
    <w:rsid w:val="00A04F3F"/>
    <w:rsid w:val="00A058B9"/>
    <w:rsid w:val="00A06552"/>
    <w:rsid w:val="00A07B8B"/>
    <w:rsid w:val="00A103CD"/>
    <w:rsid w:val="00A14126"/>
    <w:rsid w:val="00A21E8A"/>
    <w:rsid w:val="00A223E5"/>
    <w:rsid w:val="00A25250"/>
    <w:rsid w:val="00A262BB"/>
    <w:rsid w:val="00A277A5"/>
    <w:rsid w:val="00A279F6"/>
    <w:rsid w:val="00A302BC"/>
    <w:rsid w:val="00A30A0B"/>
    <w:rsid w:val="00A31642"/>
    <w:rsid w:val="00A325A9"/>
    <w:rsid w:val="00A34229"/>
    <w:rsid w:val="00A36D6D"/>
    <w:rsid w:val="00A41A9C"/>
    <w:rsid w:val="00A41CD6"/>
    <w:rsid w:val="00A42229"/>
    <w:rsid w:val="00A4602D"/>
    <w:rsid w:val="00A46C19"/>
    <w:rsid w:val="00A50947"/>
    <w:rsid w:val="00A5129B"/>
    <w:rsid w:val="00A55964"/>
    <w:rsid w:val="00A568D1"/>
    <w:rsid w:val="00A569A5"/>
    <w:rsid w:val="00A60276"/>
    <w:rsid w:val="00A62F92"/>
    <w:rsid w:val="00A66087"/>
    <w:rsid w:val="00A66C03"/>
    <w:rsid w:val="00A67D63"/>
    <w:rsid w:val="00A73084"/>
    <w:rsid w:val="00A73B7D"/>
    <w:rsid w:val="00A74548"/>
    <w:rsid w:val="00A755B8"/>
    <w:rsid w:val="00A7570D"/>
    <w:rsid w:val="00A75AAF"/>
    <w:rsid w:val="00A763AA"/>
    <w:rsid w:val="00A8060D"/>
    <w:rsid w:val="00A8103F"/>
    <w:rsid w:val="00A81EF4"/>
    <w:rsid w:val="00A829C8"/>
    <w:rsid w:val="00A841D3"/>
    <w:rsid w:val="00A874D5"/>
    <w:rsid w:val="00A9179F"/>
    <w:rsid w:val="00A9279B"/>
    <w:rsid w:val="00A9298F"/>
    <w:rsid w:val="00A9591B"/>
    <w:rsid w:val="00AA04C9"/>
    <w:rsid w:val="00AA25DF"/>
    <w:rsid w:val="00AA3645"/>
    <w:rsid w:val="00AA4F57"/>
    <w:rsid w:val="00AA7600"/>
    <w:rsid w:val="00AB0582"/>
    <w:rsid w:val="00AB151D"/>
    <w:rsid w:val="00AB1E18"/>
    <w:rsid w:val="00AB2BA6"/>
    <w:rsid w:val="00AB3536"/>
    <w:rsid w:val="00AB59E9"/>
    <w:rsid w:val="00AB62CD"/>
    <w:rsid w:val="00AB6755"/>
    <w:rsid w:val="00AB6C4F"/>
    <w:rsid w:val="00AB7F6F"/>
    <w:rsid w:val="00AC0EE7"/>
    <w:rsid w:val="00AC2C88"/>
    <w:rsid w:val="00AD09E9"/>
    <w:rsid w:val="00AD4DB6"/>
    <w:rsid w:val="00AD56BA"/>
    <w:rsid w:val="00AD77BA"/>
    <w:rsid w:val="00AD7B60"/>
    <w:rsid w:val="00AE24D6"/>
    <w:rsid w:val="00AE56E0"/>
    <w:rsid w:val="00AE57F1"/>
    <w:rsid w:val="00AF12B8"/>
    <w:rsid w:val="00AF2A53"/>
    <w:rsid w:val="00AF3A8C"/>
    <w:rsid w:val="00AF4F49"/>
    <w:rsid w:val="00AF67D2"/>
    <w:rsid w:val="00AF7099"/>
    <w:rsid w:val="00B000DC"/>
    <w:rsid w:val="00B014C9"/>
    <w:rsid w:val="00B02110"/>
    <w:rsid w:val="00B02C1B"/>
    <w:rsid w:val="00B03399"/>
    <w:rsid w:val="00B0483B"/>
    <w:rsid w:val="00B120BA"/>
    <w:rsid w:val="00B12CF0"/>
    <w:rsid w:val="00B151A7"/>
    <w:rsid w:val="00B167C1"/>
    <w:rsid w:val="00B22077"/>
    <w:rsid w:val="00B224D9"/>
    <w:rsid w:val="00B229F2"/>
    <w:rsid w:val="00B23542"/>
    <w:rsid w:val="00B27BB0"/>
    <w:rsid w:val="00B306FC"/>
    <w:rsid w:val="00B325EA"/>
    <w:rsid w:val="00B34212"/>
    <w:rsid w:val="00B376E2"/>
    <w:rsid w:val="00B419A3"/>
    <w:rsid w:val="00B42E5A"/>
    <w:rsid w:val="00B45CFB"/>
    <w:rsid w:val="00B4651C"/>
    <w:rsid w:val="00B46B70"/>
    <w:rsid w:val="00B513BC"/>
    <w:rsid w:val="00B55C05"/>
    <w:rsid w:val="00B57C63"/>
    <w:rsid w:val="00B62C42"/>
    <w:rsid w:val="00B64A90"/>
    <w:rsid w:val="00B650E5"/>
    <w:rsid w:val="00B6597D"/>
    <w:rsid w:val="00B665C2"/>
    <w:rsid w:val="00B71717"/>
    <w:rsid w:val="00B74983"/>
    <w:rsid w:val="00B81464"/>
    <w:rsid w:val="00B84DEF"/>
    <w:rsid w:val="00B86334"/>
    <w:rsid w:val="00B95D47"/>
    <w:rsid w:val="00B9732F"/>
    <w:rsid w:val="00B97A55"/>
    <w:rsid w:val="00BA06A6"/>
    <w:rsid w:val="00BA348B"/>
    <w:rsid w:val="00BA3561"/>
    <w:rsid w:val="00BA466D"/>
    <w:rsid w:val="00BA4F51"/>
    <w:rsid w:val="00BA5CE5"/>
    <w:rsid w:val="00BA6CA9"/>
    <w:rsid w:val="00BB2B41"/>
    <w:rsid w:val="00BB3DAB"/>
    <w:rsid w:val="00BB75CE"/>
    <w:rsid w:val="00BB7FD5"/>
    <w:rsid w:val="00BC01E4"/>
    <w:rsid w:val="00BC1288"/>
    <w:rsid w:val="00BC24F5"/>
    <w:rsid w:val="00BC339D"/>
    <w:rsid w:val="00BC3510"/>
    <w:rsid w:val="00BC40DD"/>
    <w:rsid w:val="00BC5022"/>
    <w:rsid w:val="00BC6A1E"/>
    <w:rsid w:val="00BC6FDB"/>
    <w:rsid w:val="00BD476E"/>
    <w:rsid w:val="00BD53CC"/>
    <w:rsid w:val="00BD561C"/>
    <w:rsid w:val="00BD6217"/>
    <w:rsid w:val="00BD6617"/>
    <w:rsid w:val="00BD7100"/>
    <w:rsid w:val="00BE1004"/>
    <w:rsid w:val="00BE4E0D"/>
    <w:rsid w:val="00BE686F"/>
    <w:rsid w:val="00BF0166"/>
    <w:rsid w:val="00BF05D9"/>
    <w:rsid w:val="00BF461B"/>
    <w:rsid w:val="00BF682A"/>
    <w:rsid w:val="00BF6E3B"/>
    <w:rsid w:val="00BF7FCC"/>
    <w:rsid w:val="00C0141C"/>
    <w:rsid w:val="00C03A7A"/>
    <w:rsid w:val="00C05A00"/>
    <w:rsid w:val="00C114D3"/>
    <w:rsid w:val="00C11DBA"/>
    <w:rsid w:val="00C148F0"/>
    <w:rsid w:val="00C14B4C"/>
    <w:rsid w:val="00C16222"/>
    <w:rsid w:val="00C20FED"/>
    <w:rsid w:val="00C2372A"/>
    <w:rsid w:val="00C24774"/>
    <w:rsid w:val="00C273A8"/>
    <w:rsid w:val="00C27CD4"/>
    <w:rsid w:val="00C32E1A"/>
    <w:rsid w:val="00C34266"/>
    <w:rsid w:val="00C34CB3"/>
    <w:rsid w:val="00C3519F"/>
    <w:rsid w:val="00C35CC6"/>
    <w:rsid w:val="00C378CE"/>
    <w:rsid w:val="00C41DFC"/>
    <w:rsid w:val="00C42E67"/>
    <w:rsid w:val="00C437C2"/>
    <w:rsid w:val="00C458F9"/>
    <w:rsid w:val="00C46AF4"/>
    <w:rsid w:val="00C53CEA"/>
    <w:rsid w:val="00C5759D"/>
    <w:rsid w:val="00C60F41"/>
    <w:rsid w:val="00C61B54"/>
    <w:rsid w:val="00C627C8"/>
    <w:rsid w:val="00C65D4E"/>
    <w:rsid w:val="00C667AA"/>
    <w:rsid w:val="00C667D3"/>
    <w:rsid w:val="00C676CE"/>
    <w:rsid w:val="00C70161"/>
    <w:rsid w:val="00C70C5E"/>
    <w:rsid w:val="00C72B66"/>
    <w:rsid w:val="00C73168"/>
    <w:rsid w:val="00C7541F"/>
    <w:rsid w:val="00C770A0"/>
    <w:rsid w:val="00C80BEA"/>
    <w:rsid w:val="00C816D2"/>
    <w:rsid w:val="00C81EA3"/>
    <w:rsid w:val="00C82255"/>
    <w:rsid w:val="00C85521"/>
    <w:rsid w:val="00C85A74"/>
    <w:rsid w:val="00C86BC8"/>
    <w:rsid w:val="00C875BA"/>
    <w:rsid w:val="00C87621"/>
    <w:rsid w:val="00C87C59"/>
    <w:rsid w:val="00C927C6"/>
    <w:rsid w:val="00C95F09"/>
    <w:rsid w:val="00CA0B16"/>
    <w:rsid w:val="00CA1C4E"/>
    <w:rsid w:val="00CA6ABE"/>
    <w:rsid w:val="00CA6CE1"/>
    <w:rsid w:val="00CB3743"/>
    <w:rsid w:val="00CB3A60"/>
    <w:rsid w:val="00CB58AE"/>
    <w:rsid w:val="00CB5F1F"/>
    <w:rsid w:val="00CB72A5"/>
    <w:rsid w:val="00CB7650"/>
    <w:rsid w:val="00CB797C"/>
    <w:rsid w:val="00CC023D"/>
    <w:rsid w:val="00CC249D"/>
    <w:rsid w:val="00CC4397"/>
    <w:rsid w:val="00CD0874"/>
    <w:rsid w:val="00CD14DC"/>
    <w:rsid w:val="00CD17BF"/>
    <w:rsid w:val="00CD1888"/>
    <w:rsid w:val="00CD18F2"/>
    <w:rsid w:val="00CD6F10"/>
    <w:rsid w:val="00CD755D"/>
    <w:rsid w:val="00CD7822"/>
    <w:rsid w:val="00CD7C0A"/>
    <w:rsid w:val="00CE1F1C"/>
    <w:rsid w:val="00CE54E1"/>
    <w:rsid w:val="00CF2B7D"/>
    <w:rsid w:val="00CF3105"/>
    <w:rsid w:val="00CF3841"/>
    <w:rsid w:val="00CF6A4C"/>
    <w:rsid w:val="00CF6FC7"/>
    <w:rsid w:val="00CF7BCC"/>
    <w:rsid w:val="00D005B9"/>
    <w:rsid w:val="00D0070B"/>
    <w:rsid w:val="00D06A92"/>
    <w:rsid w:val="00D06C62"/>
    <w:rsid w:val="00D07004"/>
    <w:rsid w:val="00D10823"/>
    <w:rsid w:val="00D10E95"/>
    <w:rsid w:val="00D14703"/>
    <w:rsid w:val="00D15292"/>
    <w:rsid w:val="00D165D5"/>
    <w:rsid w:val="00D1781E"/>
    <w:rsid w:val="00D21896"/>
    <w:rsid w:val="00D23718"/>
    <w:rsid w:val="00D258EC"/>
    <w:rsid w:val="00D27DC5"/>
    <w:rsid w:val="00D30720"/>
    <w:rsid w:val="00D33630"/>
    <w:rsid w:val="00D34BEC"/>
    <w:rsid w:val="00D40C39"/>
    <w:rsid w:val="00D415A1"/>
    <w:rsid w:val="00D43481"/>
    <w:rsid w:val="00D438A3"/>
    <w:rsid w:val="00D44DB7"/>
    <w:rsid w:val="00D50592"/>
    <w:rsid w:val="00D5164E"/>
    <w:rsid w:val="00D52231"/>
    <w:rsid w:val="00D5352F"/>
    <w:rsid w:val="00D54FB5"/>
    <w:rsid w:val="00D602DD"/>
    <w:rsid w:val="00D62F8A"/>
    <w:rsid w:val="00D65AC4"/>
    <w:rsid w:val="00D731F4"/>
    <w:rsid w:val="00D77372"/>
    <w:rsid w:val="00D822AD"/>
    <w:rsid w:val="00D85761"/>
    <w:rsid w:val="00D85C48"/>
    <w:rsid w:val="00D90E39"/>
    <w:rsid w:val="00D90FA1"/>
    <w:rsid w:val="00D927DA"/>
    <w:rsid w:val="00D94990"/>
    <w:rsid w:val="00D94D3F"/>
    <w:rsid w:val="00D95C07"/>
    <w:rsid w:val="00DA1408"/>
    <w:rsid w:val="00DA3A4A"/>
    <w:rsid w:val="00DA435F"/>
    <w:rsid w:val="00DA4C28"/>
    <w:rsid w:val="00DB1054"/>
    <w:rsid w:val="00DB12A8"/>
    <w:rsid w:val="00DB1AF8"/>
    <w:rsid w:val="00DB237F"/>
    <w:rsid w:val="00DB4FF0"/>
    <w:rsid w:val="00DB611F"/>
    <w:rsid w:val="00DC0159"/>
    <w:rsid w:val="00DC2D0B"/>
    <w:rsid w:val="00DD051B"/>
    <w:rsid w:val="00DD1439"/>
    <w:rsid w:val="00DD1578"/>
    <w:rsid w:val="00DD19FA"/>
    <w:rsid w:val="00DD2B69"/>
    <w:rsid w:val="00DD2F41"/>
    <w:rsid w:val="00DD4254"/>
    <w:rsid w:val="00DD434F"/>
    <w:rsid w:val="00DD483A"/>
    <w:rsid w:val="00DD4EF5"/>
    <w:rsid w:val="00DD4FC4"/>
    <w:rsid w:val="00DD56B7"/>
    <w:rsid w:val="00DD6AC3"/>
    <w:rsid w:val="00DE3173"/>
    <w:rsid w:val="00DE5590"/>
    <w:rsid w:val="00DE6F11"/>
    <w:rsid w:val="00DF0C90"/>
    <w:rsid w:val="00DF261E"/>
    <w:rsid w:val="00DF52B6"/>
    <w:rsid w:val="00DF58FC"/>
    <w:rsid w:val="00E01C2D"/>
    <w:rsid w:val="00E02C2C"/>
    <w:rsid w:val="00E02D90"/>
    <w:rsid w:val="00E039F8"/>
    <w:rsid w:val="00E05985"/>
    <w:rsid w:val="00E066E6"/>
    <w:rsid w:val="00E113A6"/>
    <w:rsid w:val="00E146B1"/>
    <w:rsid w:val="00E15387"/>
    <w:rsid w:val="00E155BE"/>
    <w:rsid w:val="00E20D4F"/>
    <w:rsid w:val="00E20F15"/>
    <w:rsid w:val="00E21D65"/>
    <w:rsid w:val="00E21DD3"/>
    <w:rsid w:val="00E2270B"/>
    <w:rsid w:val="00E30AB7"/>
    <w:rsid w:val="00E31032"/>
    <w:rsid w:val="00E33CCD"/>
    <w:rsid w:val="00E36B93"/>
    <w:rsid w:val="00E371D8"/>
    <w:rsid w:val="00E3795B"/>
    <w:rsid w:val="00E4322C"/>
    <w:rsid w:val="00E462EA"/>
    <w:rsid w:val="00E47381"/>
    <w:rsid w:val="00E53CE0"/>
    <w:rsid w:val="00E54AA3"/>
    <w:rsid w:val="00E55E1A"/>
    <w:rsid w:val="00E567F5"/>
    <w:rsid w:val="00E56E36"/>
    <w:rsid w:val="00E630C1"/>
    <w:rsid w:val="00E64ABE"/>
    <w:rsid w:val="00E64B2F"/>
    <w:rsid w:val="00E65FD5"/>
    <w:rsid w:val="00E719E6"/>
    <w:rsid w:val="00E746EB"/>
    <w:rsid w:val="00E753CA"/>
    <w:rsid w:val="00E75BBB"/>
    <w:rsid w:val="00E75D87"/>
    <w:rsid w:val="00E75EEA"/>
    <w:rsid w:val="00E7626C"/>
    <w:rsid w:val="00E76738"/>
    <w:rsid w:val="00E76EB7"/>
    <w:rsid w:val="00E839B4"/>
    <w:rsid w:val="00E83A78"/>
    <w:rsid w:val="00E8494C"/>
    <w:rsid w:val="00E906B7"/>
    <w:rsid w:val="00E90D10"/>
    <w:rsid w:val="00E9245C"/>
    <w:rsid w:val="00E92F3F"/>
    <w:rsid w:val="00E950F1"/>
    <w:rsid w:val="00E95122"/>
    <w:rsid w:val="00E952AE"/>
    <w:rsid w:val="00E95363"/>
    <w:rsid w:val="00EA0631"/>
    <w:rsid w:val="00EA08EA"/>
    <w:rsid w:val="00EA1A26"/>
    <w:rsid w:val="00EA2397"/>
    <w:rsid w:val="00EA346D"/>
    <w:rsid w:val="00EA6E81"/>
    <w:rsid w:val="00EA7E90"/>
    <w:rsid w:val="00EB326A"/>
    <w:rsid w:val="00EB36FA"/>
    <w:rsid w:val="00EB3ED7"/>
    <w:rsid w:val="00EB5957"/>
    <w:rsid w:val="00EB616E"/>
    <w:rsid w:val="00EB6F94"/>
    <w:rsid w:val="00EC075A"/>
    <w:rsid w:val="00EC5C08"/>
    <w:rsid w:val="00EC6072"/>
    <w:rsid w:val="00EC7634"/>
    <w:rsid w:val="00ED0BD1"/>
    <w:rsid w:val="00ED2AF9"/>
    <w:rsid w:val="00ED2D52"/>
    <w:rsid w:val="00ED5BA8"/>
    <w:rsid w:val="00ED78C8"/>
    <w:rsid w:val="00EE00E9"/>
    <w:rsid w:val="00EE0257"/>
    <w:rsid w:val="00EE17A4"/>
    <w:rsid w:val="00EE1F30"/>
    <w:rsid w:val="00EE3A89"/>
    <w:rsid w:val="00EE7A7F"/>
    <w:rsid w:val="00EE7D6E"/>
    <w:rsid w:val="00EF20F5"/>
    <w:rsid w:val="00EF3C13"/>
    <w:rsid w:val="00EF73A3"/>
    <w:rsid w:val="00F0077D"/>
    <w:rsid w:val="00F01C26"/>
    <w:rsid w:val="00F034A9"/>
    <w:rsid w:val="00F04E89"/>
    <w:rsid w:val="00F054D9"/>
    <w:rsid w:val="00F05A06"/>
    <w:rsid w:val="00F06982"/>
    <w:rsid w:val="00F10644"/>
    <w:rsid w:val="00F10795"/>
    <w:rsid w:val="00F10CF4"/>
    <w:rsid w:val="00F15AFD"/>
    <w:rsid w:val="00F16293"/>
    <w:rsid w:val="00F20457"/>
    <w:rsid w:val="00F217C5"/>
    <w:rsid w:val="00F21FC8"/>
    <w:rsid w:val="00F221DA"/>
    <w:rsid w:val="00F23826"/>
    <w:rsid w:val="00F275EF"/>
    <w:rsid w:val="00F30DC0"/>
    <w:rsid w:val="00F310BF"/>
    <w:rsid w:val="00F322DA"/>
    <w:rsid w:val="00F368BB"/>
    <w:rsid w:val="00F378AE"/>
    <w:rsid w:val="00F37C27"/>
    <w:rsid w:val="00F41E7C"/>
    <w:rsid w:val="00F45008"/>
    <w:rsid w:val="00F504F4"/>
    <w:rsid w:val="00F546FC"/>
    <w:rsid w:val="00F54F94"/>
    <w:rsid w:val="00F5570A"/>
    <w:rsid w:val="00F56F20"/>
    <w:rsid w:val="00F64329"/>
    <w:rsid w:val="00F657BA"/>
    <w:rsid w:val="00F662DF"/>
    <w:rsid w:val="00F67B3C"/>
    <w:rsid w:val="00F727FE"/>
    <w:rsid w:val="00F73709"/>
    <w:rsid w:val="00F74EB1"/>
    <w:rsid w:val="00F76675"/>
    <w:rsid w:val="00F76C44"/>
    <w:rsid w:val="00F80C3B"/>
    <w:rsid w:val="00F81E72"/>
    <w:rsid w:val="00F848DF"/>
    <w:rsid w:val="00F84F2A"/>
    <w:rsid w:val="00F9036E"/>
    <w:rsid w:val="00F96117"/>
    <w:rsid w:val="00FA0B00"/>
    <w:rsid w:val="00FA10B9"/>
    <w:rsid w:val="00FA1467"/>
    <w:rsid w:val="00FA27F6"/>
    <w:rsid w:val="00FB2F7F"/>
    <w:rsid w:val="00FB37EA"/>
    <w:rsid w:val="00FB5BB7"/>
    <w:rsid w:val="00FB74F2"/>
    <w:rsid w:val="00FC1E0C"/>
    <w:rsid w:val="00FC2542"/>
    <w:rsid w:val="00FC5E17"/>
    <w:rsid w:val="00FC6D47"/>
    <w:rsid w:val="00FC704C"/>
    <w:rsid w:val="00FC7C1E"/>
    <w:rsid w:val="00FD06AA"/>
    <w:rsid w:val="00FD486A"/>
    <w:rsid w:val="00FD58FC"/>
    <w:rsid w:val="00FD7C04"/>
    <w:rsid w:val="00FE08B0"/>
    <w:rsid w:val="00FE7830"/>
    <w:rsid w:val="00FF0C9D"/>
    <w:rsid w:val="00FF346E"/>
    <w:rsid w:val="00FF69CF"/>
    <w:rsid w:val="75FF129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276" w:lineRule="auto"/>
    </w:pPr>
    <w:rPr>
      <w:rFonts w:ascii="Garamond" w:hAnsi="Garamond" w:eastAsiaTheme="minorHAnsi" w:cstheme="minorBidi"/>
      <w:sz w:val="22"/>
      <w:szCs w:val="22"/>
      <w:lang w:val="en-US" w:eastAsia="en-US" w:bidi="ar-SA"/>
    </w:rPr>
  </w:style>
  <w:style w:type="paragraph" w:styleId="2">
    <w:name w:val="heading 1"/>
    <w:basedOn w:val="1"/>
    <w:next w:val="1"/>
    <w:link w:val="39"/>
    <w:qFormat/>
    <w:uiPriority w:val="0"/>
    <w:pPr>
      <w:keepNext/>
      <w:keepLines/>
      <w:spacing w:before="120" w:after="60"/>
      <w:outlineLvl w:val="0"/>
    </w:pPr>
    <w:rPr>
      <w:rFonts w:asciiTheme="minorHAnsi" w:hAnsiTheme="minorHAnsi" w:eastAsiaTheme="majorEastAsia" w:cstheme="majorBidi"/>
      <w:b/>
      <w:bCs/>
      <w:color w:val="345B8A" w:themeColor="accent1" w:themeShade="B5"/>
      <w:sz w:val="32"/>
      <w:szCs w:val="32"/>
    </w:rPr>
  </w:style>
  <w:style w:type="paragraph" w:styleId="3">
    <w:name w:val="heading 2"/>
    <w:basedOn w:val="1"/>
    <w:next w:val="1"/>
    <w:link w:val="40"/>
    <w:unhideWhenUsed/>
    <w:qFormat/>
    <w:uiPriority w:val="0"/>
    <w:pPr>
      <w:keepNext/>
      <w:keepLines/>
      <w:spacing w:before="120"/>
      <w:outlineLvl w:val="1"/>
    </w:pPr>
    <w:rPr>
      <w:rFonts w:asciiTheme="minorHAnsi" w:hAnsiTheme="minorHAnsi" w:eastAsiaTheme="majorEastAsia" w:cstheme="majorBidi"/>
      <w:b/>
      <w:bCs/>
      <w:i/>
      <w:color w:val="4F81BD" w:themeColor="accent1"/>
      <w:sz w:val="26"/>
      <w:szCs w:val="26"/>
      <w14:textFill>
        <w14:solidFill>
          <w14:schemeClr w14:val="accent1"/>
        </w14:solidFill>
      </w14:textFill>
    </w:rPr>
  </w:style>
  <w:style w:type="paragraph" w:styleId="4">
    <w:name w:val="heading 3"/>
    <w:basedOn w:val="1"/>
    <w:next w:val="1"/>
    <w:link w:val="41"/>
    <w:qFormat/>
    <w:uiPriority w:val="0"/>
    <w:pPr>
      <w:keepNext/>
      <w:tabs>
        <w:tab w:val="left" w:pos="1298"/>
      </w:tabs>
      <w:overflowPunct w:val="0"/>
      <w:autoSpaceDE w:val="0"/>
      <w:autoSpaceDN w:val="0"/>
      <w:adjustRightInd w:val="0"/>
      <w:spacing w:before="360" w:line="240" w:lineRule="auto"/>
      <w:ind w:left="1298" w:right="1298" w:hanging="1298"/>
      <w:jc w:val="both"/>
      <w:textAlignment w:val="baseline"/>
      <w:outlineLvl w:val="2"/>
    </w:pPr>
    <w:rPr>
      <w:rFonts w:ascii="Times New Roman" w:hAnsi="Times New Roman" w:eastAsia="Times New Roman" w:cs="Times New Roman"/>
      <w:b/>
      <w:sz w:val="24"/>
      <w:szCs w:val="20"/>
      <w:lang w:val="en-GB"/>
    </w:rPr>
  </w:style>
  <w:style w:type="paragraph" w:styleId="5">
    <w:name w:val="heading 4"/>
    <w:basedOn w:val="1"/>
    <w:next w:val="1"/>
    <w:link w:val="42"/>
    <w:qFormat/>
    <w:uiPriority w:val="0"/>
    <w:pPr>
      <w:keepNext/>
      <w:tabs>
        <w:tab w:val="left" w:pos="1298"/>
      </w:tabs>
      <w:overflowPunct w:val="0"/>
      <w:autoSpaceDE w:val="0"/>
      <w:autoSpaceDN w:val="0"/>
      <w:adjustRightInd w:val="0"/>
      <w:spacing w:before="360" w:line="240" w:lineRule="auto"/>
      <w:ind w:left="1298" w:right="1298" w:hanging="1298"/>
      <w:jc w:val="both"/>
      <w:textAlignment w:val="baseline"/>
      <w:outlineLvl w:val="3"/>
    </w:pPr>
    <w:rPr>
      <w:rFonts w:ascii="Times New Roman" w:hAnsi="Times New Roman" w:eastAsia="Times New Roman" w:cs="Times New Roman"/>
      <w:b/>
      <w:bCs/>
      <w:sz w:val="24"/>
      <w:szCs w:val="28"/>
      <w:lang w:val="en-GB"/>
    </w:rPr>
  </w:style>
  <w:style w:type="paragraph" w:styleId="6">
    <w:name w:val="heading 5"/>
    <w:basedOn w:val="1"/>
    <w:next w:val="1"/>
    <w:link w:val="43"/>
    <w:qFormat/>
    <w:uiPriority w:val="0"/>
    <w:pPr>
      <w:tabs>
        <w:tab w:val="left" w:pos="1298"/>
      </w:tabs>
      <w:overflowPunct w:val="0"/>
      <w:autoSpaceDE w:val="0"/>
      <w:autoSpaceDN w:val="0"/>
      <w:adjustRightInd w:val="0"/>
      <w:spacing w:before="240" w:after="60" w:line="240" w:lineRule="auto"/>
      <w:ind w:left="1298" w:right="1298" w:hanging="1298"/>
      <w:jc w:val="both"/>
      <w:textAlignment w:val="baseline"/>
      <w:outlineLvl w:val="4"/>
    </w:pPr>
    <w:rPr>
      <w:rFonts w:ascii="Times New Roman" w:hAnsi="Times New Roman" w:eastAsia="Times New Roman" w:cs="Times New Roman"/>
      <w:b/>
      <w:bCs/>
      <w:iCs/>
      <w:sz w:val="24"/>
      <w:szCs w:val="26"/>
      <w:lang w:val="en-GB"/>
    </w:rPr>
  </w:style>
  <w:style w:type="paragraph" w:styleId="7">
    <w:name w:val="heading 6"/>
    <w:basedOn w:val="1"/>
    <w:next w:val="1"/>
    <w:link w:val="44"/>
    <w:qFormat/>
    <w:uiPriority w:val="0"/>
    <w:pPr>
      <w:tabs>
        <w:tab w:val="left" w:pos="1152"/>
      </w:tabs>
      <w:overflowPunct w:val="0"/>
      <w:autoSpaceDE w:val="0"/>
      <w:autoSpaceDN w:val="0"/>
      <w:adjustRightInd w:val="0"/>
      <w:spacing w:before="240" w:after="60" w:line="240" w:lineRule="auto"/>
      <w:ind w:left="1152" w:right="1298" w:hanging="1152"/>
      <w:jc w:val="both"/>
      <w:textAlignment w:val="baseline"/>
      <w:outlineLvl w:val="5"/>
    </w:pPr>
    <w:rPr>
      <w:rFonts w:ascii="Times New Roman" w:hAnsi="Times New Roman" w:eastAsia="Times New Roman" w:cs="Times New Roman"/>
      <w:b/>
      <w:bCs/>
      <w:lang w:val="en-GB"/>
    </w:rPr>
  </w:style>
  <w:style w:type="paragraph" w:styleId="8">
    <w:name w:val="heading 7"/>
    <w:basedOn w:val="1"/>
    <w:next w:val="1"/>
    <w:link w:val="45"/>
    <w:qFormat/>
    <w:uiPriority w:val="0"/>
    <w:pPr>
      <w:tabs>
        <w:tab w:val="left" w:pos="1296"/>
      </w:tabs>
      <w:overflowPunct w:val="0"/>
      <w:autoSpaceDE w:val="0"/>
      <w:autoSpaceDN w:val="0"/>
      <w:adjustRightInd w:val="0"/>
      <w:spacing w:before="240" w:after="60" w:line="240" w:lineRule="auto"/>
      <w:ind w:left="1296" w:right="1298" w:hanging="1296"/>
      <w:jc w:val="both"/>
      <w:textAlignment w:val="baseline"/>
      <w:outlineLvl w:val="6"/>
    </w:pPr>
    <w:rPr>
      <w:rFonts w:ascii="Times New Roman" w:hAnsi="Times New Roman" w:eastAsia="Times New Roman" w:cs="Times New Roman"/>
      <w:sz w:val="24"/>
      <w:szCs w:val="24"/>
      <w:lang w:val="en-GB"/>
    </w:rPr>
  </w:style>
  <w:style w:type="paragraph" w:styleId="9">
    <w:name w:val="heading 8"/>
    <w:basedOn w:val="1"/>
    <w:next w:val="1"/>
    <w:link w:val="46"/>
    <w:qFormat/>
    <w:uiPriority w:val="0"/>
    <w:pPr>
      <w:tabs>
        <w:tab w:val="left" w:pos="1440"/>
      </w:tabs>
      <w:overflowPunct w:val="0"/>
      <w:autoSpaceDE w:val="0"/>
      <w:autoSpaceDN w:val="0"/>
      <w:adjustRightInd w:val="0"/>
      <w:spacing w:before="240" w:after="60" w:line="240" w:lineRule="auto"/>
      <w:ind w:left="1440" w:right="1298" w:hanging="1440"/>
      <w:jc w:val="both"/>
      <w:textAlignment w:val="baseline"/>
      <w:outlineLvl w:val="7"/>
    </w:pPr>
    <w:rPr>
      <w:rFonts w:ascii="Times New Roman" w:hAnsi="Times New Roman" w:eastAsia="Times New Roman" w:cs="Times New Roman"/>
      <w:i/>
      <w:iCs/>
      <w:sz w:val="24"/>
      <w:szCs w:val="24"/>
      <w:lang w:val="en-GB"/>
    </w:rPr>
  </w:style>
  <w:style w:type="paragraph" w:styleId="10">
    <w:name w:val="heading 9"/>
    <w:basedOn w:val="1"/>
    <w:next w:val="1"/>
    <w:link w:val="47"/>
    <w:qFormat/>
    <w:uiPriority w:val="0"/>
    <w:pPr>
      <w:tabs>
        <w:tab w:val="left" w:pos="1584"/>
      </w:tabs>
      <w:overflowPunct w:val="0"/>
      <w:autoSpaceDE w:val="0"/>
      <w:autoSpaceDN w:val="0"/>
      <w:adjustRightInd w:val="0"/>
      <w:spacing w:before="240" w:after="60" w:line="240" w:lineRule="auto"/>
      <w:ind w:left="1584" w:right="1298" w:hanging="1584"/>
      <w:jc w:val="both"/>
      <w:textAlignment w:val="baseline"/>
      <w:outlineLvl w:val="8"/>
    </w:pPr>
    <w:rPr>
      <w:rFonts w:ascii="Arial" w:hAnsi="Arial" w:eastAsia="Times New Roman" w:cs="Arial"/>
      <w:lang w:val="en-GB"/>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11">
    <w:name w:val="Document Map"/>
    <w:basedOn w:val="1"/>
    <w:link w:val="50"/>
    <w:semiHidden/>
    <w:unhideWhenUsed/>
    <w:uiPriority w:val="99"/>
    <w:pPr>
      <w:spacing w:after="0" w:line="240" w:lineRule="auto"/>
    </w:pPr>
    <w:rPr>
      <w:rFonts w:ascii="Lucida Grande" w:hAnsi="Lucida Grande" w:cs="Lucida Grande"/>
      <w:sz w:val="24"/>
      <w:szCs w:val="24"/>
    </w:rPr>
  </w:style>
  <w:style w:type="paragraph" w:styleId="12">
    <w:name w:val="annotation text"/>
    <w:basedOn w:val="1"/>
    <w:link w:val="34"/>
    <w:semiHidden/>
    <w:unhideWhenUsed/>
    <w:uiPriority w:val="99"/>
    <w:pPr>
      <w:spacing w:line="240" w:lineRule="auto"/>
    </w:pPr>
    <w:rPr>
      <w:sz w:val="24"/>
      <w:szCs w:val="24"/>
    </w:rPr>
  </w:style>
  <w:style w:type="paragraph" w:styleId="13">
    <w:name w:val="Balloon Text"/>
    <w:basedOn w:val="1"/>
    <w:link w:val="33"/>
    <w:semiHidden/>
    <w:unhideWhenUsed/>
    <w:uiPriority w:val="99"/>
    <w:pPr>
      <w:spacing w:after="0" w:line="240" w:lineRule="auto"/>
    </w:pPr>
    <w:rPr>
      <w:rFonts w:ascii="Lucida Grande" w:hAnsi="Lucida Grande" w:cs="Lucida Grande"/>
      <w:sz w:val="18"/>
      <w:szCs w:val="18"/>
    </w:rPr>
  </w:style>
  <w:style w:type="paragraph" w:styleId="14">
    <w:name w:val="footer"/>
    <w:basedOn w:val="1"/>
    <w:link w:val="30"/>
    <w:unhideWhenUsed/>
    <w:uiPriority w:val="99"/>
    <w:pPr>
      <w:tabs>
        <w:tab w:val="center" w:pos="4500"/>
        <w:tab w:val="right" w:pos="9000"/>
      </w:tabs>
      <w:spacing w:after="0" w:line="240" w:lineRule="auto"/>
    </w:pPr>
  </w:style>
  <w:style w:type="paragraph" w:styleId="15">
    <w:name w:val="header"/>
    <w:basedOn w:val="1"/>
    <w:link w:val="29"/>
    <w:unhideWhenUsed/>
    <w:uiPriority w:val="99"/>
    <w:pPr>
      <w:tabs>
        <w:tab w:val="center" w:pos="4507"/>
        <w:tab w:val="right" w:pos="9000"/>
      </w:tabs>
      <w:spacing w:after="0" w:line="240" w:lineRule="auto"/>
    </w:pPr>
  </w:style>
  <w:style w:type="paragraph" w:styleId="16">
    <w:name w:val="Subtitle"/>
    <w:basedOn w:val="1"/>
    <w:next w:val="1"/>
    <w:link w:val="51"/>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7">
    <w:name w:val="footnote text"/>
    <w:basedOn w:val="1"/>
    <w:link w:val="37"/>
    <w:unhideWhenUsed/>
    <w:uiPriority w:val="99"/>
    <w:pPr>
      <w:spacing w:after="0" w:line="240" w:lineRule="auto"/>
    </w:pPr>
    <w:rPr>
      <w:sz w:val="20"/>
      <w:szCs w:val="20"/>
    </w:rPr>
  </w:style>
  <w:style w:type="paragraph" w:styleId="18">
    <w:name w:val="Normal (Web)"/>
    <w:basedOn w:val="1"/>
    <w:unhideWhenUsed/>
    <w:uiPriority w:val="99"/>
    <w:rPr>
      <w:rFonts w:ascii="Times New Roman" w:hAnsi="Times New Roman" w:cs="Times New Roman"/>
      <w:sz w:val="24"/>
      <w:szCs w:val="24"/>
    </w:rPr>
  </w:style>
  <w:style w:type="paragraph" w:styleId="19">
    <w:name w:val="Title"/>
    <w:basedOn w:val="1"/>
    <w:next w:val="1"/>
    <w:link w:val="38"/>
    <w:qFormat/>
    <w:uiPriority w:val="10"/>
    <w:pPr>
      <w:pBdr>
        <w:bottom w:val="single" w:color="4F81BD" w:themeColor="accent1" w:sz="8" w:space="4"/>
      </w:pBdr>
      <w:spacing w:after="200" w:line="240" w:lineRule="auto"/>
      <w:contextualSpacing/>
    </w:pPr>
    <w:rPr>
      <w:rFonts w:asciiTheme="majorHAnsi" w:hAnsiTheme="majorHAnsi" w:eastAsiaTheme="majorEastAsia" w:cstheme="majorBidi"/>
      <w:color w:val="17375E" w:themeColor="text2" w:themeShade="BF"/>
      <w:spacing w:val="5"/>
      <w:kern w:val="28"/>
      <w:sz w:val="52"/>
      <w:szCs w:val="52"/>
    </w:rPr>
  </w:style>
  <w:style w:type="paragraph" w:styleId="20">
    <w:name w:val="annotation subject"/>
    <w:basedOn w:val="12"/>
    <w:next w:val="12"/>
    <w:link w:val="35"/>
    <w:semiHidden/>
    <w:unhideWhenUsed/>
    <w:uiPriority w:val="99"/>
    <w:rPr>
      <w:b/>
      <w:bCs/>
      <w:sz w:val="20"/>
      <w:szCs w:val="20"/>
    </w:rPr>
  </w:style>
  <w:style w:type="table" w:styleId="22">
    <w:name w:val="Table Grid"/>
    <w:basedOn w:val="21"/>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FollowedHyperlink"/>
    <w:basedOn w:val="23"/>
    <w:semiHidden/>
    <w:unhideWhenUsed/>
    <w:uiPriority w:val="99"/>
    <w:rPr>
      <w:color w:val="800080" w:themeColor="followedHyperlink"/>
      <w:u w:val="single"/>
      <w14:textFill>
        <w14:solidFill>
          <w14:schemeClr w14:val="folHlink"/>
        </w14:solidFill>
      </w14:textFill>
    </w:rPr>
  </w:style>
  <w:style w:type="character" w:styleId="26">
    <w:name w:val="Hyperlink"/>
    <w:basedOn w:val="23"/>
    <w:unhideWhenUsed/>
    <w:uiPriority w:val="99"/>
    <w:rPr>
      <w:color w:val="0000FF" w:themeColor="hyperlink"/>
      <w:u w:val="single"/>
      <w14:textFill>
        <w14:solidFill>
          <w14:schemeClr w14:val="hlink"/>
        </w14:solidFill>
      </w14:textFill>
    </w:rPr>
  </w:style>
  <w:style w:type="character" w:styleId="27">
    <w:name w:val="annotation reference"/>
    <w:basedOn w:val="23"/>
    <w:semiHidden/>
    <w:unhideWhenUsed/>
    <w:uiPriority w:val="99"/>
    <w:rPr>
      <w:sz w:val="18"/>
      <w:szCs w:val="18"/>
    </w:rPr>
  </w:style>
  <w:style w:type="character" w:styleId="28">
    <w:name w:val="footnote reference"/>
    <w:basedOn w:val="23"/>
    <w:unhideWhenUsed/>
    <w:uiPriority w:val="99"/>
    <w:rPr>
      <w:vertAlign w:val="superscript"/>
    </w:rPr>
  </w:style>
  <w:style w:type="character" w:customStyle="1" w:styleId="29">
    <w:name w:val="Header Char"/>
    <w:basedOn w:val="23"/>
    <w:link w:val="15"/>
    <w:uiPriority w:val="99"/>
    <w:rPr>
      <w:rFonts w:ascii="Garamond" w:hAnsi="Garamond"/>
    </w:rPr>
  </w:style>
  <w:style w:type="character" w:customStyle="1" w:styleId="30">
    <w:name w:val="Footer Char"/>
    <w:basedOn w:val="23"/>
    <w:link w:val="14"/>
    <w:uiPriority w:val="99"/>
    <w:rPr>
      <w:rFonts w:ascii="Garamond" w:hAnsi="Garamond"/>
    </w:rPr>
  </w:style>
  <w:style w:type="paragraph" w:customStyle="1" w:styleId="31">
    <w:name w:val="Default"/>
    <w:uiPriority w:val="0"/>
    <w:pPr>
      <w:widowControl w:val="0"/>
      <w:autoSpaceDE w:val="0"/>
      <w:autoSpaceDN w:val="0"/>
      <w:adjustRightInd w:val="0"/>
      <w:spacing w:after="0" w:line="240" w:lineRule="auto"/>
    </w:pPr>
    <w:rPr>
      <w:rFonts w:ascii="Arial" w:hAnsi="Arial" w:cs="Arial" w:eastAsiaTheme="minorHAnsi"/>
      <w:color w:val="000000"/>
      <w:sz w:val="24"/>
      <w:szCs w:val="24"/>
      <w:lang w:val="en-US" w:eastAsia="en-US" w:bidi="ar-SA"/>
    </w:rPr>
  </w:style>
  <w:style w:type="paragraph" w:styleId="32">
    <w:name w:val="List Paragraph"/>
    <w:basedOn w:val="1"/>
    <w:qFormat/>
    <w:uiPriority w:val="34"/>
    <w:pPr>
      <w:spacing w:after="240"/>
      <w:ind w:left="720"/>
      <w:contextualSpacing/>
    </w:pPr>
  </w:style>
  <w:style w:type="character" w:customStyle="1" w:styleId="33">
    <w:name w:val="Balloon Text Char"/>
    <w:basedOn w:val="23"/>
    <w:link w:val="13"/>
    <w:semiHidden/>
    <w:uiPriority w:val="99"/>
    <w:rPr>
      <w:rFonts w:ascii="Lucida Grande" w:hAnsi="Lucida Grande" w:cs="Lucida Grande"/>
      <w:sz w:val="18"/>
      <w:szCs w:val="18"/>
    </w:rPr>
  </w:style>
  <w:style w:type="character" w:customStyle="1" w:styleId="34">
    <w:name w:val="Comment Text Char"/>
    <w:basedOn w:val="23"/>
    <w:link w:val="12"/>
    <w:semiHidden/>
    <w:uiPriority w:val="99"/>
    <w:rPr>
      <w:sz w:val="24"/>
      <w:szCs w:val="24"/>
    </w:rPr>
  </w:style>
  <w:style w:type="character" w:customStyle="1" w:styleId="35">
    <w:name w:val="Comment Subject Char"/>
    <w:basedOn w:val="34"/>
    <w:link w:val="20"/>
    <w:semiHidden/>
    <w:uiPriority w:val="99"/>
    <w:rPr>
      <w:b/>
      <w:bCs/>
      <w:sz w:val="20"/>
      <w:szCs w:val="20"/>
    </w:rPr>
  </w:style>
  <w:style w:type="paragraph" w:customStyle="1" w:styleId="36">
    <w:name w:val="Revision"/>
    <w:hidden/>
    <w:semiHidden/>
    <w:uiPriority w:val="99"/>
    <w:pPr>
      <w:spacing w:after="0" w:line="240" w:lineRule="auto"/>
    </w:pPr>
    <w:rPr>
      <w:rFonts w:asciiTheme="minorHAnsi" w:hAnsiTheme="minorHAnsi" w:eastAsiaTheme="minorHAnsi" w:cstheme="minorBidi"/>
      <w:sz w:val="22"/>
      <w:szCs w:val="22"/>
      <w:lang w:val="en-US" w:eastAsia="en-US" w:bidi="ar-SA"/>
    </w:rPr>
  </w:style>
  <w:style w:type="character" w:customStyle="1" w:styleId="37">
    <w:name w:val="Footnote Text Char"/>
    <w:basedOn w:val="23"/>
    <w:link w:val="17"/>
    <w:uiPriority w:val="99"/>
    <w:rPr>
      <w:sz w:val="20"/>
      <w:szCs w:val="20"/>
    </w:rPr>
  </w:style>
  <w:style w:type="character" w:customStyle="1" w:styleId="38">
    <w:name w:val="Title Char"/>
    <w:basedOn w:val="23"/>
    <w:link w:val="19"/>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39">
    <w:name w:val="Heading 1 Char"/>
    <w:basedOn w:val="23"/>
    <w:link w:val="2"/>
    <w:uiPriority w:val="0"/>
    <w:rPr>
      <w:rFonts w:eastAsiaTheme="majorEastAsia" w:cstheme="majorBidi"/>
      <w:b/>
      <w:bCs/>
      <w:color w:val="345B8A" w:themeColor="accent1" w:themeShade="B5"/>
      <w:sz w:val="32"/>
      <w:szCs w:val="32"/>
    </w:rPr>
  </w:style>
  <w:style w:type="character" w:customStyle="1" w:styleId="40">
    <w:name w:val="Heading 2 Char"/>
    <w:basedOn w:val="23"/>
    <w:link w:val="3"/>
    <w:uiPriority w:val="0"/>
    <w:rPr>
      <w:rFonts w:eastAsiaTheme="majorEastAsia" w:cstheme="majorBidi"/>
      <w:b/>
      <w:bCs/>
      <w:i/>
      <w:color w:val="4F81BD" w:themeColor="accent1"/>
      <w:sz w:val="26"/>
      <w:szCs w:val="26"/>
      <w14:textFill>
        <w14:solidFill>
          <w14:schemeClr w14:val="accent1"/>
        </w14:solidFill>
      </w14:textFill>
    </w:rPr>
  </w:style>
  <w:style w:type="character" w:customStyle="1" w:styleId="41">
    <w:name w:val="Heading 3 Char"/>
    <w:basedOn w:val="23"/>
    <w:link w:val="4"/>
    <w:uiPriority w:val="0"/>
    <w:rPr>
      <w:rFonts w:ascii="Times New Roman" w:hAnsi="Times New Roman" w:eastAsia="Times New Roman" w:cs="Times New Roman"/>
      <w:b/>
      <w:sz w:val="24"/>
      <w:szCs w:val="20"/>
      <w:lang w:val="en-GB"/>
    </w:rPr>
  </w:style>
  <w:style w:type="character" w:customStyle="1" w:styleId="42">
    <w:name w:val="Heading 4 Char"/>
    <w:basedOn w:val="23"/>
    <w:link w:val="5"/>
    <w:uiPriority w:val="0"/>
    <w:rPr>
      <w:rFonts w:ascii="Times New Roman" w:hAnsi="Times New Roman" w:eastAsia="Times New Roman" w:cs="Times New Roman"/>
      <w:b/>
      <w:bCs/>
      <w:sz w:val="24"/>
      <w:szCs w:val="28"/>
      <w:lang w:val="en-GB"/>
    </w:rPr>
  </w:style>
  <w:style w:type="character" w:customStyle="1" w:styleId="43">
    <w:name w:val="Heading 5 Char"/>
    <w:basedOn w:val="23"/>
    <w:link w:val="6"/>
    <w:uiPriority w:val="0"/>
    <w:rPr>
      <w:rFonts w:ascii="Times New Roman" w:hAnsi="Times New Roman" w:eastAsia="Times New Roman" w:cs="Times New Roman"/>
      <w:b/>
      <w:bCs/>
      <w:iCs/>
      <w:sz w:val="24"/>
      <w:szCs w:val="26"/>
      <w:lang w:val="en-GB"/>
    </w:rPr>
  </w:style>
  <w:style w:type="character" w:customStyle="1" w:styleId="44">
    <w:name w:val="Heading 6 Char"/>
    <w:basedOn w:val="23"/>
    <w:link w:val="7"/>
    <w:uiPriority w:val="0"/>
    <w:rPr>
      <w:rFonts w:ascii="Times New Roman" w:hAnsi="Times New Roman" w:eastAsia="Times New Roman" w:cs="Times New Roman"/>
      <w:b/>
      <w:bCs/>
      <w:lang w:val="en-GB"/>
    </w:rPr>
  </w:style>
  <w:style w:type="character" w:customStyle="1" w:styleId="45">
    <w:name w:val="Heading 7 Char"/>
    <w:basedOn w:val="23"/>
    <w:link w:val="8"/>
    <w:uiPriority w:val="0"/>
    <w:rPr>
      <w:rFonts w:ascii="Times New Roman" w:hAnsi="Times New Roman" w:eastAsia="Times New Roman" w:cs="Times New Roman"/>
      <w:sz w:val="24"/>
      <w:szCs w:val="24"/>
      <w:lang w:val="en-GB"/>
    </w:rPr>
  </w:style>
  <w:style w:type="character" w:customStyle="1" w:styleId="46">
    <w:name w:val="Heading 8 Char"/>
    <w:basedOn w:val="23"/>
    <w:link w:val="9"/>
    <w:uiPriority w:val="0"/>
    <w:rPr>
      <w:rFonts w:ascii="Times New Roman" w:hAnsi="Times New Roman" w:eastAsia="Times New Roman" w:cs="Times New Roman"/>
      <w:i/>
      <w:iCs/>
      <w:sz w:val="24"/>
      <w:szCs w:val="24"/>
      <w:lang w:val="en-GB"/>
    </w:rPr>
  </w:style>
  <w:style w:type="character" w:customStyle="1" w:styleId="47">
    <w:name w:val="Heading 9 Char"/>
    <w:basedOn w:val="23"/>
    <w:link w:val="10"/>
    <w:uiPriority w:val="0"/>
    <w:rPr>
      <w:rFonts w:ascii="Arial" w:hAnsi="Arial" w:eastAsia="Times New Roman" w:cs="Arial"/>
      <w:lang w:val="en-GB"/>
    </w:rPr>
  </w:style>
  <w:style w:type="paragraph" w:customStyle="1" w:styleId="48">
    <w:name w:val="C1 Plain Text Char"/>
    <w:basedOn w:val="1"/>
    <w:link w:val="49"/>
    <w:uiPriority w:val="0"/>
    <w:pPr>
      <w:overflowPunct w:val="0"/>
      <w:autoSpaceDE w:val="0"/>
      <w:autoSpaceDN w:val="0"/>
      <w:adjustRightInd w:val="0"/>
      <w:spacing w:before="120" w:line="240" w:lineRule="auto"/>
      <w:ind w:left="1298" w:right="1298"/>
      <w:jc w:val="both"/>
      <w:textAlignment w:val="baseline"/>
    </w:pPr>
    <w:rPr>
      <w:rFonts w:ascii="Times New Roman" w:hAnsi="Times New Roman" w:eastAsia="Times New Roman" w:cs="Times New Roman"/>
      <w:sz w:val="24"/>
      <w:szCs w:val="20"/>
      <w:lang w:val="en-GB"/>
    </w:rPr>
  </w:style>
  <w:style w:type="character" w:customStyle="1" w:styleId="49">
    <w:name w:val="C1 Plain Text Char Char"/>
    <w:basedOn w:val="23"/>
    <w:link w:val="48"/>
    <w:uiPriority w:val="0"/>
    <w:rPr>
      <w:rFonts w:ascii="Times New Roman" w:hAnsi="Times New Roman" w:eastAsia="Times New Roman" w:cs="Times New Roman"/>
      <w:sz w:val="24"/>
      <w:szCs w:val="20"/>
      <w:lang w:val="en-GB"/>
    </w:rPr>
  </w:style>
  <w:style w:type="character" w:customStyle="1" w:styleId="50">
    <w:name w:val="Document Map Char"/>
    <w:basedOn w:val="23"/>
    <w:link w:val="11"/>
    <w:semiHidden/>
    <w:uiPriority w:val="99"/>
    <w:rPr>
      <w:rFonts w:ascii="Lucida Grande" w:hAnsi="Lucida Grande" w:cs="Lucida Grande"/>
      <w:sz w:val="24"/>
      <w:szCs w:val="24"/>
    </w:rPr>
  </w:style>
  <w:style w:type="character" w:customStyle="1" w:styleId="51">
    <w:name w:val="Subtitle Char"/>
    <w:basedOn w:val="23"/>
    <w:link w:val="1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52">
    <w:name w:val="Unresolved Mention1"/>
    <w:basedOn w:val="23"/>
    <w:semiHidden/>
    <w:unhideWhenUsed/>
    <w:uiPriority w:val="99"/>
    <w:rPr>
      <w:color w:val="605E5C"/>
      <w:shd w:val="clear" w:color="auto" w:fill="E1DFDD"/>
    </w:rPr>
  </w:style>
  <w:style w:type="character" w:customStyle="1" w:styleId="53">
    <w:name w:val="Unresolved Mention"/>
    <w:basedOn w:val="2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5.xml"/><Relationship Id="rId14" Type="http://schemas.openxmlformats.org/officeDocument/2006/relationships/customXml" Target="../customXml/item4.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ma:contentTypeID="0x010100BE980769E605744DB4A3CB42DCA0BE34" ma:contentTypeScope="" ma:contentTypeName="Document" ct:_="" ma:_="" ma:versionID="84d2f6d160337fde8da4dc5f581e8f47" ma:contentTypeDescription="Create a new document." ma:contentTypeVersion="11">
  <xsd:schema xmlns:ns2="e3a33bdc-12ad-4669-a01c-a863f5f0923d" xmlns:ns3="c8db5f06-c546-46af-ba4b-a34d08b697cd" xmlns:xsd="http://www.w3.org/2001/XMLSchema" xmlns:xs="http://www.w3.org/2001/XMLSchema" xmlns:p="http://schemas.microsoft.com/office/2006/metadata/properties" ma:root="true" ma:fieldsID="5a2f11acc08cd5c94da7ecb18b7f24ed" targetNamespace="http://schemas.microsoft.com/office/2006/metadata/properties" ns3:_="" ns2:_="">
    <xsd:import namespace="e3a33bdc-12ad-4669-a01c-a863f5f0923d"/>
    <xsd:import namespace="c8db5f06-c546-46af-ba4b-a34d08b697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pc="http://schemas.microsoft.com/office/infopath/2007/PartnerControls" xmlns:xsd="http://www.w3.org/2001/XMLSchema" xmlns:dms="http://schemas.microsoft.com/office/2006/documentManagement/types" xmlns:xs="http://www.w3.org/2001/XMLSchema" targetNamespace="e3a33bdc-12ad-4669-a01c-a863f5f0923d" elementFormDefault="qualified">
    <xsd:import namespace="http://schemas.microsoft.com/office/2006/documentManagement/types"/>
    <xsd:import namespace="http://schemas.microsoft.com/office/infopath/2007/PartnerControls"/>
    <xsd:element ma:readOnly="true" nillable="true" ma:hidden="true" name="MediaServiceMetadata" ma:displayName="MediaServiceMetadata" ma:index="8" ma:internalName="MediaServiceMetadata">
      <xsd:simpleType>
        <xsd:restriction base="dms:Note"/>
      </xsd:simpleType>
    </xsd:element>
    <xsd:element ma:readOnly="true" nillable="true" ma:hidden="true" name="MediaServiceFastMetadata" ma:displayName="MediaServiceFastMetadata" ma:index="9" ma:internalName="MediaServiceFastMetadata">
      <xsd:simpleType>
        <xsd:restriction base="dms:Note"/>
      </xsd:simpleType>
    </xsd:element>
    <xsd:element ma:readOnly="true" nillable="true" ma:hidden="true" name="MediaServiceDateTaken" ma:displayName="MediaServiceDateTaken" ma:index="10" ma:internalName="MediaServiceDateTaken">
      <xsd:simpleType>
        <xsd:restriction base="dms:Text"/>
      </xsd:simpleType>
    </xsd:element>
    <xsd:element ma:readOnly="true" nillable="true" name="MediaServiceAutoTags" ma:displayName="MediaServiceAutoTags" ma:index="11" ma:internalName="MediaServiceAutoTags">
      <xsd:simpleType>
        <xsd:restriction base="dms:Text"/>
      </xsd:simpleType>
    </xsd:element>
    <xsd:element ma:readOnly="true" nillable="true" name="MediaServiceOCR" ma:displayName="MediaServiceOCR" ma:index="12" ma:internalName="MediaServiceOCR">
      <xsd:simpleType>
        <xsd:restriction base="dms:Note">
          <xsd:maxLength value="255"/>
        </xsd:restriction>
      </xsd:simpleType>
    </xsd:element>
    <xsd:element ma:readOnly="true" nillable="true" ma:hidden="true" name="MediaServiceEventHashCode" ma:displayName="MediaServiceEventHashCode" ma:index="13" ma:internalName="MediaServiceEventHashCode">
      <xsd:simpleType>
        <xsd:restriction base="dms:Text"/>
      </xsd:simpleType>
    </xsd:element>
    <xsd:element ma:readOnly="true" nillable="true" ma:hidden="true" name="MediaServiceGenerationTime" ma:displayName="MediaServiceGenerationTime" ma:index="14" ma:internalName="MediaServiceGenerationTime">
      <xsd:simpleType>
        <xsd:restriction base="dms:Text"/>
      </xsd:simpleType>
    </xsd:element>
    <xsd:element ma:readOnly="true" nillable="true" ma:hidden="true" name="MediaServiceAutoKeyPoints" ma:displayName="MediaServiceAutoKeyPoints" ma:index="17" ma:internalName="MediaServiceAutoKeyPoints">
      <xsd:simpleType>
        <xsd:restriction base="dms:Note"/>
      </xsd:simpleType>
    </xsd:element>
    <xsd:element ma:readOnly="true" nillable="true" name="MediaServiceKeyPoints" ma:displayName="KeyPoints" ma:index="18" ma:internalName="MediaServiceKeyPoints">
      <xsd:simpleType>
        <xsd:restriction base="dms:Note">
          <xsd:maxLength value="255"/>
        </xsd:restriction>
      </xsd:simpleType>
    </xsd:element>
  </xsd:schema>
  <xsd:schema xmlns:pc="http://schemas.microsoft.com/office/infopath/2007/PartnerControls" xmlns:xsd="http://www.w3.org/2001/XMLSchema" xmlns:dms="http://schemas.microsoft.com/office/2006/documentManagement/types" xmlns:xs="http://www.w3.org/2001/XMLSchema" targetNamespace="c8db5f06-c546-46af-ba4b-a34d08b697cd" elementFormDefault="qualified">
    <xsd:import namespace="http://schemas.microsoft.com/office/2006/documentManagement/types"/>
    <xsd:import namespace="http://schemas.microsoft.com/office/infopath/2007/PartnerControls"/>
    <xsd:element ma:readOnly="true" nillable="true" name="SharedWithUsers" ma:displayName="Shared With" ma:index="15" ma:internalName="SharedWithUsers">
      <xsd:complexType>
        <xsd:complexContent>
          <xsd:extension base="dms:UserMulti">
            <xsd:sequence>
              <xsd:element name="UserInfo" maxOccurs="unbounded" minOccurs="0">
                <xsd:complexType>
                  <xsd:sequence>
                    <xsd:element type="xsd:string" name="DisplayName" minOccurs="0"/>
                    <xsd:element type="dms:UserId" nillable="true" name="AccountId" minOccurs="0"/>
                    <xsd:element type="xsd:string" name="AccountType" minOccurs="0"/>
                  </xsd:sequence>
                </xsd:complexType>
              </xsd:element>
            </xsd:sequence>
          </xsd:extension>
        </xsd:complexContent>
      </xsd:complexType>
    </xsd:element>
    <xsd:element ma:readOnly="true" nillable="true" name="SharedWithDetails" ma:displayName="Shared With Details" ma:index="16" ma:internalName="SharedWithDetails">
      <xsd:simpleType>
        <xsd:restriction base="dms:Note">
          <xsd:maxLength value="255"/>
        </xsd:restriction>
      </xsd:simpleType>
    </xsd:element>
  </xsd:schema>
  <xsd:schema xmlns:xsd="http://www.w3.org/2001/XMLSchema" xmlns:dc="http://purl.org/dc/elements/1.1/" xmlns:dcterms="http://purl.org/dc/terms/" xmlns="http://schemas.openxmlformats.org/package/2006/metadata/core-properties" xmlns:odoc="http://schemas.microsoft.com/internal/obd" xmlns:xsi="http://www.w3.org/2001/XMLSchema-instance" targetNamespace="http://schemas.openxmlformats.org/package/2006/metadata/core-properties" elementFormDefault="qualified" attributeFormDefault="unqualified" blockDefault="#all">
    <xsd:import schemaLocation="http://dublincore.org/schemas/xmls/qdc/2003/04/02/dc.xsd" namespace="http://purl.org/dc/elements/1.1/"/>
    <xsd:import schemaLocation="http://dublincore.org/schemas/xmls/qdc/2003/04/02/dcterms.xsd" namespace="http://purl.org/dc/terms/"/>
    <xsd:element type="CT_coreProperties" name="coreProperties"/>
    <xsd:complexType name="CT_coreProperties">
      <xsd:all>
        <xsd:element ref="dc:creator" maxOccurs="1" minOccurs="0"/>
        <xsd:element ref="dcterms:created" maxOccurs="1" minOccurs="0"/>
        <xsd:element ref="dc:identifier" maxOccurs="1" minOccurs="0"/>
        <xsd:element type="xsd:string" name="contentType" ma:displayName="Content Type" ma:index="0" maxOccurs="1" minOccurs="0"/>
        <xsd:element ref="dc:title" ma:displayName="Title" ma:index="4" maxOccurs="1" minOccurs="0"/>
        <xsd:element ref="dc:subject" maxOccurs="1" minOccurs="0"/>
        <xsd:element ref="dc:description" maxOccurs="1" minOccurs="0"/>
        <xsd:element type="xsd:string" name="keywords" maxOccurs="1" minOccurs="0"/>
        <xsd:element ref="dc:language" maxOccurs="1" minOccurs="0"/>
        <xsd:element type="xsd:string" name="category" maxOccurs="1" minOccurs="0"/>
        <xsd:element type="xsd:string" name="version" maxOccurs="1" minOccurs="0"/>
        <xsd:element type="xsd:string" name="revision" maxOccurs="1" minOccurs="0">
          <xsd:annotation>
            <xsd:documentation>
                        This value indicates the number of saves or revisions. The application is responsible for updating this value after each revision.
                    </xsd:documentation>
          </xsd:annotation>
        </xsd:element>
        <xsd:element type="xsd:string" name="lastModifiedBy" maxOccurs="1" minOccurs="0"/>
        <xsd:element ref="dcterms:modified" maxOccurs="1" minOccurs="0"/>
        <xsd:element type="xsd:string" name="contentStatus" maxOccurs="1" minOccurs="0"/>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type="xs:string" name="DisplayName"/>
    <xs:element type="xs:string" name="AccountId"/>
    <xs:element type="xs:string" name="AccountType"/>
    <xs:element name="BDCAssociatedEntity">
      <xs:complexType>
        <xs:sequence>
          <xs:element ref="pc:BDCEntity" maxOccurs="unbounded" minOccurs="0"/>
        </xs:sequence>
        <xs:attribute ref="pc:EntityNamespace"/>
        <xs:attribute ref="pc:EntityName"/>
        <xs:attribute ref="pc:SystemInstanceName"/>
        <xs:attribute ref="pc:AssociationName"/>
      </xs:complexType>
    </xs:element>
    <xs:attribute type="xs:string" name="EntityNamespace"/>
    <xs:attribute type="xs:string" name="EntityName"/>
    <xs:attribute type="xs:string" name="SystemInstanceName"/>
    <xs:attribute type="xs:string" name="AssociationName"/>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type="xs:string" name="EntityDisplayName"/>
    <xs:element type="xs:string" name="EntityInstanceReference"/>
    <xs:element type="xs:string" name="EntityId1"/>
    <xs:element type="xs:string" name="EntityId2"/>
    <xs:element type="xs:string" name="EntityId3"/>
    <xs:element type="xs:string" name="EntityId4"/>
    <xs:element type="xs:string" name="EntityId5"/>
    <xs:element name="Terms">
      <xs:complexType>
        <xs:sequence>
          <xs:element ref="pc:TermInfo" maxOccurs="unbounded" minOccurs="0"/>
        </xs:sequence>
      </xs:complexType>
    </xs:element>
    <xs:element name="TermInfo">
      <xs:complexType>
        <xs:sequence>
          <xs:element ref="pc:TermName" minOccurs="0"/>
          <xs:element ref="pc:TermId" minOccurs="0"/>
        </xs:sequence>
      </xs:complexType>
    </xs:element>
    <xs:element type="xs:string" name="TermName"/>
    <xs:element type="xs:string" name="TermId"/>
  </xs:schema>
</ct:contentTypeSchema>
</file>

<file path=customXml/item3.xml><?xml version="1.0" encoding="utf-8"?>
<b:Sources xmlns:b="http://schemas.openxmlformats.org/officeDocument/2006/bibliography" xmlns="http://schemas.openxmlformats.org/officeDocument/2006/bibliography" StyleName="APA Fifth Edition" SelectedStyle="\APA.XSL"/>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c="http://schemas.microsoft.com/office/infopath/2007/PartnerControls" xmlns:xsi="http://www.w3.org/2001/XMLSchema-instance" xmlns:p="http://schemas.microsoft.com/office/2006/metadata/propertie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6E7E12-C026-4B02-B3AF-0DFC9AB7BE04}">
  <ds:schemaRefs/>
</ds:datastoreItem>
</file>

<file path=customXml/itemProps3.xml><?xml version="1.0" encoding="utf-8"?>
<ds:datastoreItem xmlns:ds="http://schemas.openxmlformats.org/officeDocument/2006/customXml" ds:itemID="{5014C5E8-F69F-BB48-AAB0-B042B87CDB0B}">
  <ds:schemaRefs/>
</ds:datastoreItem>
</file>

<file path=customXml/itemProps4.xml><?xml version="1.0" encoding="utf-8"?>
<ds:datastoreItem xmlns:ds="http://schemas.openxmlformats.org/officeDocument/2006/customXml" ds:itemID="{7435EE74-4E6E-4B08-BB5A-22A05068C845}">
  <ds:schemaRefs/>
</ds:datastoreItem>
</file>

<file path=customXml/itemProps5.xml><?xml version="1.0" encoding="utf-8"?>
<ds:datastoreItem xmlns:ds="http://schemas.openxmlformats.org/officeDocument/2006/customXml" ds:itemID="{968C7FE1-59F7-4915-A31C-8A5C6F5A6A2A}">
  <ds:schemaRefs/>
</ds:datastoreItem>
</file>

<file path=docProps/app.xml><?xml version="1.0" encoding="utf-8"?>
<Properties xmlns="http://schemas.openxmlformats.org/officeDocument/2006/extended-properties" xmlns:vt="http://schemas.openxmlformats.org/officeDocument/2006/docPropsVTypes">
  <Template>Normal.dotm</Template>
  <Pages>7</Pages>
  <Words>727</Words>
  <Characters>4150</Characters>
  <Lines>34</Lines>
  <Paragraphs>9</Paragraphs>
  <TotalTime>8</TotalTime>
  <ScaleCrop>false</ScaleCrop>
  <LinksUpToDate>false</LinksUpToDate>
  <CharactersWithSpaces>4868</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2025-07-30T07:36:00Z</dcterms:created>
  <dcterms:modified xsi:type="dcterms:W3CDTF">2026-01-26T18:17:32Z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0x010100BE980769E605744DB4A3CB42DCA0BE34</vt:lpwstr>
  </property>
  <property fmtid="{D5CDD505-2E9C-101B-9397-08002B2CF9AE}" pid="3" name="KSOProductBuildVer">
    <vt:lpwstr>2052-12.1.24031.24031</vt:lpwstr>
  </property>
  <property fmtid="{D5CDD505-2E9C-101B-9397-08002B2CF9AE}" pid="4" name="ICV">
    <vt:lpwstr>CE2B18DC2B944C803C3F7769E02396ED_42</vt:lpwstr>
  </property>
</Properties>
</file>